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699C5" w14:textId="6FF916A2" w:rsidR="008C1871" w:rsidRDefault="00B47BF0" w:rsidP="008C1871">
      <w:pPr>
        <w:pStyle w:val="Titel"/>
      </w:pPr>
      <w:r>
        <w:t xml:space="preserve">Nationale </w:t>
      </w:r>
      <w:r w:rsidR="00CB3397">
        <w:t xml:space="preserve">Kaders </w:t>
      </w:r>
      <w:r w:rsidR="00840B86" w:rsidRPr="00840B86">
        <w:t>Top-Up Hoger Onde</w:t>
      </w:r>
      <w:r w:rsidR="00840B86">
        <w:t>rwijs</w:t>
      </w:r>
      <w:r w:rsidR="00EF42EA">
        <w:t xml:space="preserve"> 2022</w:t>
      </w:r>
    </w:p>
    <w:p w14:paraId="2FDE23A2" w14:textId="77777777" w:rsidR="003C3D35" w:rsidRDefault="003C3D35" w:rsidP="003C3D35"/>
    <w:sdt>
      <w:sdtPr>
        <w:rPr>
          <w:rFonts w:asciiTheme="minorHAnsi" w:eastAsiaTheme="minorHAnsi" w:hAnsiTheme="minorHAnsi" w:cstheme="minorBidi"/>
          <w:color w:val="auto"/>
          <w:sz w:val="22"/>
          <w:szCs w:val="22"/>
        </w:rPr>
        <w:id w:val="-1832213156"/>
        <w:docPartObj>
          <w:docPartGallery w:val="Table of Contents"/>
          <w:docPartUnique/>
        </w:docPartObj>
      </w:sdtPr>
      <w:sdtEndPr>
        <w:rPr>
          <w:rFonts w:eastAsiaTheme="minorEastAsia"/>
          <w:b/>
          <w:bCs/>
          <w:sz w:val="20"/>
          <w:szCs w:val="20"/>
        </w:rPr>
      </w:sdtEndPr>
      <w:sdtContent>
        <w:p w14:paraId="3AF516E7" w14:textId="30AF1FD8" w:rsidR="00FD53A5" w:rsidRDefault="00FD53A5">
          <w:pPr>
            <w:pStyle w:val="Kopvaninhoudsopgave"/>
          </w:pPr>
          <w:r>
            <w:t>Inhoud</w:t>
          </w:r>
        </w:p>
        <w:p w14:paraId="0197A6EB" w14:textId="1C8E73D0" w:rsidR="00891274" w:rsidRDefault="00FD53A5" w:rsidP="00891274">
          <w:pPr>
            <w:pStyle w:val="Inhopg1"/>
            <w:rPr>
              <w:noProof/>
              <w:sz w:val="22"/>
              <w:szCs w:val="22"/>
              <w:lang w:eastAsia="nl-NL"/>
            </w:rPr>
          </w:pPr>
          <w:r>
            <w:fldChar w:fldCharType="begin"/>
          </w:r>
          <w:r>
            <w:instrText xml:space="preserve"> TOC \o "1-3" \h \z \u </w:instrText>
          </w:r>
          <w:r>
            <w:fldChar w:fldCharType="separate"/>
          </w:r>
          <w:hyperlink w:anchor="_Toc113359649" w:history="1">
            <w:r w:rsidR="00891274" w:rsidRPr="00E2513C">
              <w:rPr>
                <w:rStyle w:val="Hyperlink"/>
                <w:noProof/>
              </w:rPr>
              <w:t>Inleiding</w:t>
            </w:r>
            <w:r w:rsidR="00891274">
              <w:rPr>
                <w:noProof/>
                <w:webHidden/>
              </w:rPr>
              <w:tab/>
            </w:r>
            <w:r w:rsidR="00891274">
              <w:rPr>
                <w:noProof/>
                <w:webHidden/>
              </w:rPr>
              <w:fldChar w:fldCharType="begin"/>
            </w:r>
            <w:r w:rsidR="00891274">
              <w:rPr>
                <w:noProof/>
                <w:webHidden/>
              </w:rPr>
              <w:instrText xml:space="preserve"> PAGEREF _Toc113359649 \h </w:instrText>
            </w:r>
            <w:r w:rsidR="00891274">
              <w:rPr>
                <w:noProof/>
                <w:webHidden/>
              </w:rPr>
            </w:r>
            <w:r w:rsidR="00891274">
              <w:rPr>
                <w:noProof/>
                <w:webHidden/>
              </w:rPr>
              <w:fldChar w:fldCharType="separate"/>
            </w:r>
            <w:r w:rsidR="00A0702A">
              <w:rPr>
                <w:noProof/>
                <w:webHidden/>
              </w:rPr>
              <w:t>1</w:t>
            </w:r>
            <w:r w:rsidR="00891274">
              <w:rPr>
                <w:noProof/>
                <w:webHidden/>
              </w:rPr>
              <w:fldChar w:fldCharType="end"/>
            </w:r>
          </w:hyperlink>
        </w:p>
        <w:p w14:paraId="31EB316E" w14:textId="4036A0DC" w:rsidR="00891274" w:rsidRDefault="00891274" w:rsidP="00891274">
          <w:pPr>
            <w:pStyle w:val="Inhopg1"/>
            <w:rPr>
              <w:noProof/>
              <w:sz w:val="22"/>
              <w:szCs w:val="22"/>
              <w:lang w:eastAsia="nl-NL"/>
            </w:rPr>
          </w:pPr>
          <w:hyperlink w:anchor="_Toc113359650" w:history="1">
            <w:r w:rsidRPr="00E2513C">
              <w:rPr>
                <w:rStyle w:val="Hyperlink"/>
                <w:noProof/>
              </w:rPr>
              <w:t>Nationale kaders voor de implementatie van de ‘top-up’</w:t>
            </w:r>
            <w:r>
              <w:rPr>
                <w:noProof/>
                <w:webHidden/>
              </w:rPr>
              <w:tab/>
            </w:r>
            <w:r>
              <w:rPr>
                <w:noProof/>
                <w:webHidden/>
              </w:rPr>
              <w:fldChar w:fldCharType="begin"/>
            </w:r>
            <w:r>
              <w:rPr>
                <w:noProof/>
                <w:webHidden/>
              </w:rPr>
              <w:instrText xml:space="preserve"> PAGEREF _Toc113359650 \h </w:instrText>
            </w:r>
            <w:r>
              <w:rPr>
                <w:noProof/>
                <w:webHidden/>
              </w:rPr>
            </w:r>
            <w:r>
              <w:rPr>
                <w:noProof/>
                <w:webHidden/>
              </w:rPr>
              <w:fldChar w:fldCharType="separate"/>
            </w:r>
            <w:r w:rsidR="00A0702A">
              <w:rPr>
                <w:noProof/>
                <w:webHidden/>
              </w:rPr>
              <w:t>1</w:t>
            </w:r>
            <w:r>
              <w:rPr>
                <w:noProof/>
                <w:webHidden/>
              </w:rPr>
              <w:fldChar w:fldCharType="end"/>
            </w:r>
          </w:hyperlink>
        </w:p>
        <w:p w14:paraId="26D41B4F" w14:textId="685F85EC" w:rsidR="00891274" w:rsidRDefault="00891274" w:rsidP="00891274">
          <w:pPr>
            <w:pStyle w:val="Inhopg1"/>
            <w:rPr>
              <w:noProof/>
              <w:sz w:val="22"/>
              <w:szCs w:val="22"/>
              <w:lang w:eastAsia="nl-NL"/>
            </w:rPr>
          </w:pPr>
          <w:hyperlink w:anchor="_Toc113359651" w:history="1">
            <w:r w:rsidRPr="00E2513C">
              <w:rPr>
                <w:rStyle w:val="Hyperlink"/>
                <w:noProof/>
              </w:rPr>
              <w:t>Doelgroepen en belemmeringen voor toegankelijkheid en bereik</w:t>
            </w:r>
            <w:r>
              <w:rPr>
                <w:noProof/>
                <w:webHidden/>
              </w:rPr>
              <w:tab/>
            </w:r>
            <w:r>
              <w:rPr>
                <w:noProof/>
                <w:webHidden/>
              </w:rPr>
              <w:fldChar w:fldCharType="begin"/>
            </w:r>
            <w:r>
              <w:rPr>
                <w:noProof/>
                <w:webHidden/>
              </w:rPr>
              <w:instrText xml:space="preserve"> PAGEREF _Toc113359651 \h </w:instrText>
            </w:r>
            <w:r>
              <w:rPr>
                <w:noProof/>
                <w:webHidden/>
              </w:rPr>
            </w:r>
            <w:r>
              <w:rPr>
                <w:noProof/>
                <w:webHidden/>
              </w:rPr>
              <w:fldChar w:fldCharType="separate"/>
            </w:r>
            <w:r w:rsidR="00A0702A">
              <w:rPr>
                <w:noProof/>
                <w:webHidden/>
              </w:rPr>
              <w:t>3</w:t>
            </w:r>
            <w:r>
              <w:rPr>
                <w:noProof/>
                <w:webHidden/>
              </w:rPr>
              <w:fldChar w:fldCharType="end"/>
            </w:r>
          </w:hyperlink>
        </w:p>
        <w:p w14:paraId="677C6A37" w14:textId="3E358BB8" w:rsidR="00FD53A5" w:rsidRDefault="00FD53A5">
          <w:r>
            <w:rPr>
              <w:b/>
              <w:bCs/>
            </w:rPr>
            <w:fldChar w:fldCharType="end"/>
          </w:r>
        </w:p>
      </w:sdtContent>
    </w:sdt>
    <w:p w14:paraId="2D84141A" w14:textId="54F4349C" w:rsidR="00782B41" w:rsidRPr="00DC3624" w:rsidRDefault="00782B41" w:rsidP="00782B41">
      <w:pPr>
        <w:pStyle w:val="Kop1"/>
      </w:pPr>
      <w:bookmarkStart w:id="0" w:name="_Toc113359649"/>
      <w:r>
        <w:t>Inleiding</w:t>
      </w:r>
      <w:bookmarkEnd w:id="0"/>
    </w:p>
    <w:p w14:paraId="1AC25CD5" w14:textId="72832616" w:rsidR="008C1871" w:rsidRPr="008A7725" w:rsidRDefault="008C1871" w:rsidP="008C1871">
      <w:r w:rsidRPr="008A7725">
        <w:rPr>
          <w:noProof/>
        </w:rPr>
        <mc:AlternateContent>
          <mc:Choice Requires="wpi">
            <w:drawing>
              <wp:anchor distT="0" distB="0" distL="114300" distR="114300" simplePos="0" relativeHeight="251658240" behindDoc="0" locked="0" layoutInCell="1" allowOverlap="1" wp14:anchorId="7A45443B" wp14:editId="4E57748F">
                <wp:simplePos x="0" y="0"/>
                <wp:positionH relativeFrom="column">
                  <wp:posOffset>713565</wp:posOffset>
                </wp:positionH>
                <wp:positionV relativeFrom="paragraph">
                  <wp:posOffset>351635</wp:posOffset>
                </wp:positionV>
                <wp:extent cx="360" cy="360"/>
                <wp:effectExtent l="38100" t="19050" r="57150" b="57150"/>
                <wp:wrapNone/>
                <wp:docPr id="4" name="Inkt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0162DC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4" o:spid="_x0000_s1026" type="#_x0000_t75" style="position:absolute;margin-left:55.5pt;margin-top:27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">
                <v:imagedata r:id="rId14" o:title=""/>
              </v:shape>
            </w:pict>
          </mc:Fallback>
        </mc:AlternateContent>
      </w:r>
      <w:r w:rsidRPr="008A7725">
        <w:t xml:space="preserve">Het Nationaal Agentschap Erasmus+ Onderwijs &amp; Training (NA) is het uitvoerend orgaan in </w:t>
      </w:r>
      <w:r>
        <w:t>N</w:t>
      </w:r>
      <w:r w:rsidRPr="008A7725">
        <w:t xml:space="preserve">ederland voor het Europese subsidieprogramma Erasmus+ voor het hoger onderwijs, primair en voortgezet onderwijs, middelbaar beroepsonderwijs en de volwasseneneducatie. </w:t>
      </w:r>
    </w:p>
    <w:p w14:paraId="1D62E281" w14:textId="4CBAFD0F" w:rsidR="00F86649" w:rsidRDefault="006A42B7" w:rsidP="00445DC4">
      <w:r>
        <w:t>B</w:t>
      </w:r>
      <w:r w:rsidR="005D0DB0">
        <w:t xml:space="preserve">egin 2021 is het nieuwe programma Erasmus+ (2021-2027) van start gegaan. </w:t>
      </w:r>
      <w:r w:rsidR="00900482">
        <w:t xml:space="preserve">Het nieuwe programma biedt meer mogelijkheden om deelnemers </w:t>
      </w:r>
      <w:r w:rsidR="000E1C5C">
        <w:t xml:space="preserve">die belemmeringen </w:t>
      </w:r>
      <w:r w:rsidR="005D0DB0">
        <w:t>(‘</w:t>
      </w:r>
      <w:proofErr w:type="spellStart"/>
      <w:r w:rsidR="005D0DB0" w:rsidRPr="000E1C5C">
        <w:rPr>
          <w:i/>
          <w:iCs/>
        </w:rPr>
        <w:t>fewer</w:t>
      </w:r>
      <w:proofErr w:type="spellEnd"/>
      <w:r w:rsidR="005D0DB0" w:rsidRPr="000E1C5C">
        <w:rPr>
          <w:i/>
          <w:iCs/>
        </w:rPr>
        <w:t xml:space="preserve"> </w:t>
      </w:r>
      <w:proofErr w:type="spellStart"/>
      <w:r w:rsidR="005D0DB0" w:rsidRPr="000E1C5C">
        <w:rPr>
          <w:i/>
          <w:iCs/>
        </w:rPr>
        <w:t>opportunities</w:t>
      </w:r>
      <w:proofErr w:type="spellEnd"/>
      <w:r w:rsidR="005D0DB0">
        <w:rPr>
          <w:i/>
          <w:iCs/>
        </w:rPr>
        <w:t>’</w:t>
      </w:r>
      <w:r w:rsidR="005D0DB0">
        <w:t>)</w:t>
      </w:r>
      <w:r w:rsidR="005D0DB0" w:rsidRPr="000E1C5C">
        <w:t xml:space="preserve"> </w:t>
      </w:r>
      <w:r w:rsidR="000E1C5C">
        <w:t xml:space="preserve">ervaren </w:t>
      </w:r>
      <w:r w:rsidR="00EE65FF">
        <w:t xml:space="preserve">te  laten participeren in mobiliteiten (KA1). </w:t>
      </w:r>
      <w:r w:rsidR="00454224">
        <w:t xml:space="preserve">Bijvoorbeeld, </w:t>
      </w:r>
      <w:r w:rsidR="00FA3DAB">
        <w:t>v</w:t>
      </w:r>
      <w:r w:rsidR="00EE65FF">
        <w:t>oor het hoger onderwijs</w:t>
      </w:r>
      <w:r w:rsidR="00454224">
        <w:t xml:space="preserve"> is er</w:t>
      </w:r>
      <w:r w:rsidR="00A7037A">
        <w:t xml:space="preserve"> een speciale regeling om deelnemers een maandelijkse extra subsidie te </w:t>
      </w:r>
      <w:r w:rsidR="00524195">
        <w:t>kunnen toekennen</w:t>
      </w:r>
      <w:r w:rsidR="00A7037A">
        <w:t xml:space="preserve"> (top-up)</w:t>
      </w:r>
      <w:r w:rsidR="00647003">
        <w:t xml:space="preserve"> tijdens hun mobiliteit</w:t>
      </w:r>
      <w:r w:rsidR="00445DC4">
        <w:t>, bovenop de reguliere Erasmus+ subsidie</w:t>
      </w:r>
      <w:r w:rsidR="00CB3397">
        <w:rPr>
          <w:rStyle w:val="Voetnootmarkering"/>
        </w:rPr>
        <w:footnoteReference w:id="2"/>
      </w:r>
      <w:r w:rsidR="00A7037A">
        <w:t>.</w:t>
      </w:r>
      <w:r w:rsidR="00A73F28">
        <w:t xml:space="preserve"> </w:t>
      </w:r>
      <w:r w:rsidR="00524195">
        <w:t>Deze extra subsidie wordt toegekend aan deelnemers</w:t>
      </w:r>
      <w:r w:rsidR="00FE48FC">
        <w:t xml:space="preserve"> </w:t>
      </w:r>
      <w:r w:rsidR="00524195">
        <w:t xml:space="preserve">die </w:t>
      </w:r>
      <w:r w:rsidR="00FE48FC">
        <w:t>voldoen aan de op nationaal niveau vastgestelde criteria voor de top</w:t>
      </w:r>
      <w:r w:rsidR="00D90E59">
        <w:t>-</w:t>
      </w:r>
      <w:r w:rsidR="00FE48FC">
        <w:t>up</w:t>
      </w:r>
      <w:r w:rsidR="00A7037A">
        <w:t>.</w:t>
      </w:r>
      <w:r w:rsidR="00A73F28">
        <w:t xml:space="preserve"> </w:t>
      </w:r>
    </w:p>
    <w:p w14:paraId="6C924880" w14:textId="6B01CF07" w:rsidR="008D2A39" w:rsidRDefault="008D2A39" w:rsidP="008D2A39">
      <w:r w:rsidRPr="000A4A18">
        <w:t>Het N</w:t>
      </w:r>
      <w:r>
        <w:t xml:space="preserve">A neemt de definities voor </w:t>
      </w:r>
      <w:r w:rsidRPr="002B02CC">
        <w:rPr>
          <w:i/>
          <w:iCs/>
        </w:rPr>
        <w:t>Doelgroepen</w:t>
      </w:r>
      <w:r>
        <w:t xml:space="preserve"> en </w:t>
      </w:r>
      <w:r w:rsidRPr="002B02CC">
        <w:rPr>
          <w:i/>
          <w:iCs/>
        </w:rPr>
        <w:t>Belemmeringen voor toegankelijkheid en bereik</w:t>
      </w:r>
      <w:r>
        <w:t xml:space="preserve"> in acht, zoals beschreven in de </w:t>
      </w:r>
      <w:r w:rsidRPr="003E1AD7">
        <w:rPr>
          <w:i/>
          <w:iCs/>
        </w:rPr>
        <w:t>Erasmus+ programmagids 2021</w:t>
      </w:r>
      <w:r>
        <w:t xml:space="preserve"> en in de </w:t>
      </w:r>
      <w:r>
        <w:rPr>
          <w:i/>
          <w:iCs/>
        </w:rPr>
        <w:t>Richt</w:t>
      </w:r>
      <w:r w:rsidR="00CA7FA7">
        <w:rPr>
          <w:i/>
          <w:iCs/>
        </w:rPr>
        <w:t>lijnen</w:t>
      </w:r>
      <w:r>
        <w:rPr>
          <w:i/>
          <w:iCs/>
        </w:rPr>
        <w:t xml:space="preserve"> voor de uitwerking Inclusie- en diversiteitsstrategie van Erasmus+ en het </w:t>
      </w:r>
      <w:r w:rsidRPr="00DE1AC7">
        <w:rPr>
          <w:i/>
          <w:iCs/>
        </w:rPr>
        <w:t>Europe</w:t>
      </w:r>
      <w:r>
        <w:rPr>
          <w:i/>
          <w:iCs/>
        </w:rPr>
        <w:t>es</w:t>
      </w:r>
      <w:r w:rsidRPr="00DE1AC7">
        <w:rPr>
          <w:i/>
          <w:iCs/>
        </w:rPr>
        <w:t xml:space="preserve"> Solidarit</w:t>
      </w:r>
      <w:r>
        <w:rPr>
          <w:i/>
          <w:iCs/>
        </w:rPr>
        <w:t xml:space="preserve">eitskorps </w:t>
      </w:r>
      <w:r w:rsidRPr="00DE1AC7">
        <w:t>(Europe</w:t>
      </w:r>
      <w:r>
        <w:t xml:space="preserve">se </w:t>
      </w:r>
      <w:r w:rsidRPr="00DE1AC7">
        <w:t>Commissi</w:t>
      </w:r>
      <w:r>
        <w:t>e</w:t>
      </w:r>
      <w:r w:rsidRPr="00DE1AC7">
        <w:t>, 29-04-2021).</w:t>
      </w:r>
    </w:p>
    <w:p w14:paraId="2A819590" w14:textId="2D8AE34B" w:rsidR="00097730" w:rsidRPr="00DC3624" w:rsidRDefault="00097730" w:rsidP="00097730">
      <w:pPr>
        <w:pStyle w:val="Kop1"/>
      </w:pPr>
      <w:bookmarkStart w:id="1" w:name="_Hlk84861076"/>
      <w:bookmarkStart w:id="2" w:name="_Toc113359650"/>
      <w:r>
        <w:t>N</w:t>
      </w:r>
      <w:r w:rsidRPr="00DC3624">
        <w:t xml:space="preserve">ationale </w:t>
      </w:r>
      <w:r w:rsidR="00FB58B0">
        <w:t>kaders</w:t>
      </w:r>
      <w:r w:rsidRPr="00DC3624">
        <w:t xml:space="preserve"> voor de </w:t>
      </w:r>
      <w:r>
        <w:t>implementatie van de</w:t>
      </w:r>
      <w:r w:rsidRPr="00DC3624">
        <w:t xml:space="preserve"> </w:t>
      </w:r>
      <w:r w:rsidR="00CB3397">
        <w:t>‘</w:t>
      </w:r>
      <w:r w:rsidRPr="00DC3624">
        <w:t>top-up</w:t>
      </w:r>
      <w:r w:rsidR="00CB3397">
        <w:t>’</w:t>
      </w:r>
      <w:bookmarkEnd w:id="2"/>
    </w:p>
    <w:bookmarkEnd w:id="1"/>
    <w:p w14:paraId="48537B98" w14:textId="34823B51" w:rsidR="00097730" w:rsidRDefault="00097730" w:rsidP="00B26D36">
      <w:r>
        <w:t xml:space="preserve">De </w:t>
      </w:r>
      <w:r w:rsidR="00575C8D">
        <w:t>kaders</w:t>
      </w:r>
      <w:r>
        <w:t xml:space="preserve"> voor het inzetten van de inclusie top-up </w:t>
      </w:r>
      <w:r w:rsidR="008A32F8">
        <w:t xml:space="preserve">voor mobiliteiten </w:t>
      </w:r>
      <w:r w:rsidR="00575C8D">
        <w:t>in het hoger onderwijs</w:t>
      </w:r>
      <w:r w:rsidR="008A32F8">
        <w:t xml:space="preserve"> </w:t>
      </w:r>
      <w:r>
        <w:t xml:space="preserve">worden jaarlijks op nationaal niveau vastgesteld door de </w:t>
      </w:r>
      <w:r w:rsidR="005D0DB0">
        <w:t>N</w:t>
      </w:r>
      <w:r>
        <w:t xml:space="preserve">ationale </w:t>
      </w:r>
      <w:r w:rsidR="005D0DB0">
        <w:t xml:space="preserve">Autoriteit Erasmus+ </w:t>
      </w:r>
      <w:r>
        <w:t xml:space="preserve">(OCW). </w:t>
      </w:r>
    </w:p>
    <w:p w14:paraId="45B95E98" w14:textId="133BE3BD" w:rsidR="00097730" w:rsidRDefault="005D0DB0" w:rsidP="00097730">
      <w:r>
        <w:t>Een van de</w:t>
      </w:r>
      <w:r w:rsidR="00BF4895">
        <w:t xml:space="preserve"> prioritaire</w:t>
      </w:r>
      <w:r>
        <w:t xml:space="preserve"> </w:t>
      </w:r>
      <w:r w:rsidR="004351F2">
        <w:t>doelstellingen</w:t>
      </w:r>
      <w:r w:rsidR="000E1C5C">
        <w:t xml:space="preserve"> van Erasmus+ is dat</w:t>
      </w:r>
      <w:r w:rsidR="00097730">
        <w:t xml:space="preserve"> </w:t>
      </w:r>
      <w:proofErr w:type="spellStart"/>
      <w:r w:rsidR="004351F2">
        <w:t>hogeronderwijsinstellingen</w:t>
      </w:r>
      <w:proofErr w:type="spellEnd"/>
      <w:r w:rsidR="00097730">
        <w:t xml:space="preserve"> een jaarlijkse groei laten zien van het aantal deelnemers met ‘</w:t>
      </w:r>
      <w:proofErr w:type="spellStart"/>
      <w:r w:rsidR="00097730">
        <w:t>fewer</w:t>
      </w:r>
      <w:proofErr w:type="spellEnd"/>
      <w:r w:rsidR="00097730">
        <w:t xml:space="preserve"> </w:t>
      </w:r>
      <w:proofErr w:type="spellStart"/>
      <w:r w:rsidR="00097730">
        <w:t>opportunities</w:t>
      </w:r>
      <w:proofErr w:type="spellEnd"/>
      <w:r w:rsidR="00097730">
        <w:t xml:space="preserve">’ </w:t>
      </w:r>
      <w:r w:rsidR="000E1C5C">
        <w:t>in de mobiliteiten</w:t>
      </w:r>
      <w:r w:rsidR="00097730">
        <w:t xml:space="preserve">. </w:t>
      </w:r>
      <w:r w:rsidR="00DA3371">
        <w:t xml:space="preserve">Het inzetten van </w:t>
      </w:r>
      <w:r w:rsidR="00FE48FC">
        <w:t>de</w:t>
      </w:r>
      <w:r w:rsidR="000E1C5C">
        <w:t xml:space="preserve"> </w:t>
      </w:r>
      <w:r w:rsidR="00B110E4">
        <w:t xml:space="preserve">‘top-up’ is </w:t>
      </w:r>
      <w:r w:rsidR="004175C3">
        <w:t xml:space="preserve">één </w:t>
      </w:r>
      <w:r w:rsidR="00B110E4">
        <w:t xml:space="preserve">van de instrumenten om dit te bereiken. </w:t>
      </w:r>
      <w:proofErr w:type="spellStart"/>
      <w:r w:rsidR="00B110E4">
        <w:t>Hogeronderwijsinstellingen</w:t>
      </w:r>
      <w:proofErr w:type="spellEnd"/>
      <w:r w:rsidR="00B110E4">
        <w:t xml:space="preserve"> zijn </w:t>
      </w:r>
      <w:r w:rsidR="00BF4895">
        <w:t xml:space="preserve">in het nieuwe programma Erasmus+ </w:t>
      </w:r>
      <w:r w:rsidR="00B110E4">
        <w:t>vanaf 2021 verplicht om dit instrument</w:t>
      </w:r>
      <w:r w:rsidR="00D879B1">
        <w:t xml:space="preserve"> </w:t>
      </w:r>
      <w:r w:rsidR="00891F18">
        <w:t>beschikbaar te maken</w:t>
      </w:r>
      <w:r w:rsidR="004175C3">
        <w:t xml:space="preserve"> voor </w:t>
      </w:r>
      <w:r w:rsidR="00891F18">
        <w:t xml:space="preserve">studenten </w:t>
      </w:r>
      <w:r w:rsidR="004175C3">
        <w:t>d</w:t>
      </w:r>
      <w:r w:rsidR="00891F18">
        <w:t>ie</w:t>
      </w:r>
      <w:r w:rsidR="004175C3">
        <w:t xml:space="preserve"> belemmeringen </w:t>
      </w:r>
      <w:r w:rsidR="00891F18">
        <w:t xml:space="preserve">ervaren </w:t>
      </w:r>
      <w:r w:rsidR="004175C3">
        <w:t>die op nationaal niveau als prioritair worden vastgesteld</w:t>
      </w:r>
      <w:r w:rsidR="00D879B1">
        <w:t>.</w:t>
      </w:r>
      <w:r w:rsidR="00B81AAC">
        <w:t xml:space="preserve"> </w:t>
      </w:r>
    </w:p>
    <w:p w14:paraId="7BFCBA70" w14:textId="3F67E325" w:rsidR="00097730" w:rsidRPr="005F570F" w:rsidRDefault="00ED434A" w:rsidP="0027000E">
      <w:pPr>
        <w:rPr>
          <w:highlight w:val="yellow"/>
        </w:rPr>
      </w:pPr>
      <w:r>
        <w:t>Voor deelnemers aan mobiliteiten</w:t>
      </w:r>
      <w:r w:rsidR="00A0702A">
        <w:t xml:space="preserve"> Erasmus+</w:t>
      </w:r>
      <w:r>
        <w:t xml:space="preserve"> die ingeschreven staan aan </w:t>
      </w:r>
      <w:r w:rsidR="00097730">
        <w:t>Nederland</w:t>
      </w:r>
      <w:r>
        <w:t xml:space="preserve">se </w:t>
      </w:r>
      <w:proofErr w:type="spellStart"/>
      <w:r>
        <w:t>hogeronderwijsinstellingen</w:t>
      </w:r>
      <w:proofErr w:type="spellEnd"/>
      <w:r w:rsidR="00097730">
        <w:t xml:space="preserve"> heeft de Nationale Autoriteit</w:t>
      </w:r>
      <w:r w:rsidR="00A4394D">
        <w:t xml:space="preserve"> (</w:t>
      </w:r>
      <w:r w:rsidR="009866B4">
        <w:t xml:space="preserve">ministerie van </w:t>
      </w:r>
      <w:r w:rsidR="00A4394D">
        <w:t>OCW)</w:t>
      </w:r>
      <w:r w:rsidR="00097730">
        <w:t xml:space="preserve">, samen met het NA, de volgende </w:t>
      </w:r>
      <w:r w:rsidR="00D879B1">
        <w:t xml:space="preserve">kaders </w:t>
      </w:r>
      <w:r w:rsidR="00097730">
        <w:t xml:space="preserve"> vastgesteld</w:t>
      </w:r>
      <w:r w:rsidR="00D879B1">
        <w:t xml:space="preserve"> waarbinnen </w:t>
      </w:r>
      <w:r w:rsidR="005D0DB0">
        <w:t>de</w:t>
      </w:r>
      <w:r w:rsidR="00D879B1">
        <w:t xml:space="preserve"> ‘top-up’ </w:t>
      </w:r>
      <w:r w:rsidR="00EF42EA">
        <w:t>vanaf</w:t>
      </w:r>
      <w:r w:rsidR="00CB3397">
        <w:t xml:space="preserve"> 2021 </w:t>
      </w:r>
      <w:r w:rsidR="00D879B1">
        <w:t>word</w:t>
      </w:r>
      <w:r w:rsidR="00412779">
        <w:t>t</w:t>
      </w:r>
      <w:r w:rsidR="000E1C5C">
        <w:t xml:space="preserve"> </w:t>
      </w:r>
      <w:r w:rsidR="00D879B1">
        <w:t>toegepast</w:t>
      </w:r>
      <w:r w:rsidR="009D3E65">
        <w:rPr>
          <w:rStyle w:val="Voetnootmarkering"/>
        </w:rPr>
        <w:footnoteReference w:id="3"/>
      </w:r>
      <w:r w:rsidR="00097730">
        <w:t>:</w:t>
      </w:r>
    </w:p>
    <w:p w14:paraId="013AE9A1" w14:textId="634924BB" w:rsidR="00DF496B" w:rsidRDefault="007E687F" w:rsidP="005D0DB0">
      <w:pPr>
        <w:pStyle w:val="Lijstalinea"/>
        <w:numPr>
          <w:ilvl w:val="0"/>
          <w:numId w:val="16"/>
        </w:numPr>
        <w:spacing w:after="0"/>
      </w:pPr>
      <w:r>
        <w:t>Bij deelnemers (studenten) met belemmeringen die vallen onder</w:t>
      </w:r>
      <w:r w:rsidR="005D0DB0">
        <w:t xml:space="preserve"> handicap of gezondheidsproblemen </w:t>
      </w:r>
      <w:r>
        <w:t xml:space="preserve"> </w:t>
      </w:r>
      <w:r w:rsidR="005D0DB0">
        <w:t>(</w:t>
      </w:r>
      <w:r w:rsidR="009022A7">
        <w:t xml:space="preserve">zie </w:t>
      </w:r>
      <w:r w:rsidR="005D0DB0">
        <w:t xml:space="preserve">categorie 1 en 2 </w:t>
      </w:r>
      <w:r w:rsidR="009022A7">
        <w:t>op pagina 3)</w:t>
      </w:r>
    </w:p>
    <w:p w14:paraId="4CD090FB" w14:textId="31C582E2" w:rsidR="00815B9C" w:rsidRDefault="007E687F" w:rsidP="005D0DB0">
      <w:pPr>
        <w:pStyle w:val="Lijstalinea"/>
        <w:numPr>
          <w:ilvl w:val="0"/>
          <w:numId w:val="16"/>
        </w:numPr>
        <w:spacing w:after="0"/>
      </w:pPr>
      <w:r>
        <w:lastRenderedPageBreak/>
        <w:t xml:space="preserve">Bij deelnemers (studenten) </w:t>
      </w:r>
      <w:r w:rsidR="00750174">
        <w:t>met belemmeringen die vallen onder</w:t>
      </w:r>
      <w:r w:rsidR="005D0DB0">
        <w:t xml:space="preserve"> economische belemmeringen (</w:t>
      </w:r>
      <w:r w:rsidR="009022A7">
        <w:t xml:space="preserve">zie </w:t>
      </w:r>
      <w:r w:rsidR="00BF4895">
        <w:t>c</w:t>
      </w:r>
      <w:r w:rsidR="005D0DB0">
        <w:t xml:space="preserve">ategorie 6 </w:t>
      </w:r>
      <w:r w:rsidR="009022A7">
        <w:t>op pag</w:t>
      </w:r>
      <w:r w:rsidR="003A7A94">
        <w:t>ina</w:t>
      </w:r>
      <w:r w:rsidR="009022A7">
        <w:t xml:space="preserve"> 3</w:t>
      </w:r>
      <w:r w:rsidR="005D0DB0">
        <w:t>)</w:t>
      </w:r>
    </w:p>
    <w:p w14:paraId="5A9550E9" w14:textId="65468BB1" w:rsidR="003123AE" w:rsidRDefault="00412779" w:rsidP="001B58A3">
      <w:pPr>
        <w:spacing w:after="0"/>
      </w:pPr>
      <w:r>
        <w:t>De bovengenoemde g</w:t>
      </w:r>
      <w:r w:rsidRPr="00412779">
        <w:t xml:space="preserve">roepen </w:t>
      </w:r>
      <w:r>
        <w:t xml:space="preserve">zijn </w:t>
      </w:r>
      <w:r w:rsidRPr="00412779">
        <w:t xml:space="preserve">het meest gebaat bij een </w:t>
      </w:r>
      <w:r w:rsidR="000E1C5C" w:rsidRPr="00412779">
        <w:t>financiële</w:t>
      </w:r>
      <w:r w:rsidR="009022A7">
        <w:t xml:space="preserve"> prikkel</w:t>
      </w:r>
      <w:r w:rsidR="005D0DB0" w:rsidRPr="00815B9C">
        <w:rPr>
          <w:i/>
          <w:iCs/>
        </w:rPr>
        <w:t xml:space="preserve"> </w:t>
      </w:r>
      <w:r w:rsidR="007306BE">
        <w:t>om</w:t>
      </w:r>
      <w:r w:rsidR="005D0DB0">
        <w:t xml:space="preserve"> daarmee de weg naar internationale mobilit</w:t>
      </w:r>
      <w:r w:rsidR="007306BE">
        <w:t xml:space="preserve">eit te </w:t>
      </w:r>
      <w:r w:rsidR="00BF4895">
        <w:t>vergemakkelijken</w:t>
      </w:r>
      <w:r w:rsidRPr="00412779">
        <w:t xml:space="preserve">. </w:t>
      </w:r>
      <w:r>
        <w:t>Voor de o</w:t>
      </w:r>
      <w:r w:rsidRPr="00412779">
        <w:t>verige groepen</w:t>
      </w:r>
      <w:r w:rsidR="007306BE">
        <w:t xml:space="preserve">, die ook worden genoemd hieronder, </w:t>
      </w:r>
      <w:r>
        <w:t xml:space="preserve">is het waarschijnlijk dat </w:t>
      </w:r>
      <w:r w:rsidRPr="00412779">
        <w:t>andere</w:t>
      </w:r>
      <w:r w:rsidR="009022A7">
        <w:t xml:space="preserve"> prikkels</w:t>
      </w:r>
      <w:r w:rsidRPr="00412779">
        <w:t xml:space="preserve"> </w:t>
      </w:r>
      <w:r>
        <w:t xml:space="preserve">passender zijn om de belemmering weg te nemen. Het NA zal </w:t>
      </w:r>
      <w:r w:rsidR="007306BE">
        <w:t>acties onder</w:t>
      </w:r>
      <w:r>
        <w:t>nemen</w:t>
      </w:r>
      <w:r w:rsidR="009022A7">
        <w:t xml:space="preserve">, zoals voorlichting, </w:t>
      </w:r>
      <w:r w:rsidR="00136A0D">
        <w:t xml:space="preserve">het </w:t>
      </w:r>
      <w:r w:rsidR="009022A7">
        <w:t>delen</w:t>
      </w:r>
      <w:r w:rsidR="00136A0D">
        <w:t xml:space="preserve"> van</w:t>
      </w:r>
      <w:r w:rsidR="009022A7">
        <w:t xml:space="preserve"> best </w:t>
      </w:r>
      <w:proofErr w:type="spellStart"/>
      <w:r w:rsidR="009022A7">
        <w:t>practices</w:t>
      </w:r>
      <w:proofErr w:type="spellEnd"/>
      <w:r w:rsidR="009022A7">
        <w:t xml:space="preserve">, </w:t>
      </w:r>
      <w:r w:rsidR="008657D2">
        <w:t xml:space="preserve"> en </w:t>
      </w:r>
      <w:r w:rsidR="009022A7">
        <w:t>adviesspreekuren</w:t>
      </w:r>
      <w:r w:rsidR="00291FA2">
        <w:t xml:space="preserve"> </w:t>
      </w:r>
      <w:r>
        <w:t>om</w:t>
      </w:r>
      <w:r w:rsidR="00CB3397">
        <w:t xml:space="preserve"> ond</w:t>
      </w:r>
      <w:r w:rsidR="004C1E31">
        <w:t>erwijsinstelling</w:t>
      </w:r>
      <w:r w:rsidR="00CB3397">
        <w:t xml:space="preserve">en </w:t>
      </w:r>
      <w:r>
        <w:t>te stimuleren</w:t>
      </w:r>
      <w:r w:rsidR="000E1C5C">
        <w:t xml:space="preserve"> </w:t>
      </w:r>
      <w:r w:rsidR="007306BE">
        <w:t xml:space="preserve">om </w:t>
      </w:r>
      <w:r w:rsidR="000E1C5C">
        <w:t xml:space="preserve">voor deze groepen </w:t>
      </w:r>
      <w:r w:rsidR="004C1E31">
        <w:t xml:space="preserve">passende vormen van ondersteuning </w:t>
      </w:r>
      <w:r w:rsidR="00CB3397">
        <w:t xml:space="preserve">te </w:t>
      </w:r>
      <w:r w:rsidR="004C1E31">
        <w:t xml:space="preserve">bieden, zoals versterkte </w:t>
      </w:r>
      <w:proofErr w:type="spellStart"/>
      <w:r w:rsidR="004C1E31" w:rsidRPr="001B58A3">
        <w:rPr>
          <w:i/>
          <w:iCs/>
        </w:rPr>
        <w:t>mentoring</w:t>
      </w:r>
      <w:proofErr w:type="spellEnd"/>
      <w:r w:rsidR="004C1E31">
        <w:t xml:space="preserve">, extra taalondersteuning, voorbereidende culturele </w:t>
      </w:r>
      <w:r w:rsidR="00396DA4">
        <w:t>training, een voorbereidend bezoek</w:t>
      </w:r>
      <w:r w:rsidR="00803B47">
        <w:t>,</w:t>
      </w:r>
      <w:r w:rsidR="000E1C5C">
        <w:t xml:space="preserve"> </w:t>
      </w:r>
      <w:r w:rsidR="00B463E1">
        <w:t>et</w:t>
      </w:r>
      <w:r w:rsidR="004D73E7">
        <w:t xml:space="preserve"> cetera</w:t>
      </w:r>
      <w:r w:rsidR="00B463E1">
        <w:t>.</w:t>
      </w:r>
    </w:p>
    <w:p w14:paraId="13E757BF" w14:textId="77777777" w:rsidR="00750174" w:rsidRDefault="00750174" w:rsidP="00750174">
      <w:pPr>
        <w:spacing w:after="0"/>
      </w:pPr>
    </w:p>
    <w:p w14:paraId="4B4E3D53" w14:textId="0F81C9B4" w:rsidR="00015F5B" w:rsidRPr="005F570F" w:rsidRDefault="00015F5B" w:rsidP="00015F5B">
      <w:pPr>
        <w:rPr>
          <w:highlight w:val="yellow"/>
        </w:rPr>
      </w:pPr>
      <w:r>
        <w:t xml:space="preserve">Voor deelnemers </w:t>
      </w:r>
      <w:r w:rsidR="00A0702A">
        <w:t>aan mobiliteiten Erasmus+ buiten Europa</w:t>
      </w:r>
      <w:r w:rsidR="00DB599F">
        <w:rPr>
          <w:rStyle w:val="Voetnootmarkering"/>
        </w:rPr>
        <w:footnoteReference w:id="4"/>
      </w:r>
      <w:r>
        <w:t xml:space="preserve"> heeft de Nationale Autoriteit (ministerie van OCW), samen met het NA,   vastgesteld dat alle doelgroepen die belemmeringen ervaren </w:t>
      </w:r>
      <w:r w:rsidR="00D27033">
        <w:t>(zie categorie 1 t/m 8 op pagina 3) het</w:t>
      </w:r>
      <w:r>
        <w:t xml:space="preserve"> kader</w:t>
      </w:r>
      <w:r w:rsidR="00D27033">
        <w:t xml:space="preserve"> zijn</w:t>
      </w:r>
      <w:r>
        <w:t xml:space="preserve"> waarbinnen de ‘top-up’ vanaf</w:t>
      </w:r>
      <w:r w:rsidR="00D27033">
        <w:t xml:space="preserve"> </w:t>
      </w:r>
      <w:r>
        <w:t>202</w:t>
      </w:r>
      <w:r w:rsidR="00D27033">
        <w:t>1</w:t>
      </w:r>
      <w:r>
        <w:t xml:space="preserve"> wordt toegepast:</w:t>
      </w:r>
    </w:p>
    <w:p w14:paraId="4F201664" w14:textId="51F8C3C6" w:rsidR="00015F5B" w:rsidRDefault="00D27033" w:rsidP="00097730">
      <w:r>
        <w:t xml:space="preserve">Dit besluit draagt </w:t>
      </w:r>
      <w:r w:rsidR="00346C60">
        <w:t>er</w:t>
      </w:r>
      <w:r>
        <w:t>aan</w:t>
      </w:r>
      <w:r w:rsidR="00346C60">
        <w:t xml:space="preserve"> bij dat </w:t>
      </w:r>
      <w:r>
        <w:t>studenten uit het buitenland</w:t>
      </w:r>
      <w:r w:rsidR="00346C60">
        <w:t xml:space="preserve"> door de ontvangende landen uit het programma Erasmus+ hetzelfde behandeld worden.</w:t>
      </w:r>
      <w:r>
        <w:t xml:space="preserve"> </w:t>
      </w:r>
    </w:p>
    <w:p w14:paraId="0BCD459E" w14:textId="19E7C023" w:rsidR="00BC7466" w:rsidRDefault="009410A2" w:rsidP="00097730">
      <w:r>
        <w:t xml:space="preserve">Voor zowel de deelnemers die ingeschreven staan aan </w:t>
      </w:r>
      <w:r w:rsidR="00A0702A">
        <w:t xml:space="preserve">een </w:t>
      </w:r>
      <w:r>
        <w:t xml:space="preserve">Nederlandse </w:t>
      </w:r>
      <w:proofErr w:type="spellStart"/>
      <w:r>
        <w:t>hogeronderwijsinstelling</w:t>
      </w:r>
      <w:proofErr w:type="spellEnd"/>
      <w:r>
        <w:t xml:space="preserve"> als de deelnemers uit </w:t>
      </w:r>
      <w:r w:rsidR="00A0702A">
        <w:t>landen buiten Europa</w:t>
      </w:r>
      <w:r>
        <w:t xml:space="preserve"> geldt dat b</w:t>
      </w:r>
      <w:r w:rsidR="00097730">
        <w:t xml:space="preserve">ij de toekenning van </w:t>
      </w:r>
      <w:r w:rsidR="00B463E1">
        <w:t>de</w:t>
      </w:r>
      <w:r w:rsidR="00097730">
        <w:t xml:space="preserve"> </w:t>
      </w:r>
      <w:r w:rsidR="0088055E">
        <w:t>‘</w:t>
      </w:r>
      <w:r w:rsidR="00097730">
        <w:t>top-up</w:t>
      </w:r>
      <w:r w:rsidR="0088055E">
        <w:t>’</w:t>
      </w:r>
      <w:r w:rsidR="00097730">
        <w:t xml:space="preserve"> wordt gestreefd naar </w:t>
      </w:r>
      <w:r w:rsidR="000E1C5C">
        <w:t xml:space="preserve">een vorm van </w:t>
      </w:r>
      <w:r w:rsidR="005F2C32">
        <w:t xml:space="preserve">bewijslast </w:t>
      </w:r>
      <w:r w:rsidR="00894499">
        <w:t xml:space="preserve">die zowel </w:t>
      </w:r>
      <w:r w:rsidR="00C138D0">
        <w:t>laagdrempelig</w:t>
      </w:r>
      <w:r w:rsidR="00EC6D0B">
        <w:t xml:space="preserve"> als </w:t>
      </w:r>
      <w:r w:rsidR="00C138D0">
        <w:t>uitvoerbaa</w:t>
      </w:r>
      <w:r w:rsidR="007306BE">
        <w:t>r</w:t>
      </w:r>
      <w:r w:rsidR="00CB3397">
        <w:t xml:space="preserve"> is</w:t>
      </w:r>
      <w:r w:rsidR="000E1C5C">
        <w:t xml:space="preserve"> </w:t>
      </w:r>
      <w:r w:rsidR="005F2C32">
        <w:t xml:space="preserve">voor het individu </w:t>
      </w:r>
      <w:r w:rsidR="00B463E1">
        <w:t>én</w:t>
      </w:r>
      <w:r w:rsidR="005F2C32">
        <w:t xml:space="preserve"> voor de organisatie. </w:t>
      </w:r>
      <w:r w:rsidR="00BC7466">
        <w:t xml:space="preserve">Het </w:t>
      </w:r>
      <w:r w:rsidR="005F2C32">
        <w:t xml:space="preserve"> volgende bewijsstuk</w:t>
      </w:r>
      <w:r w:rsidR="00BC7466">
        <w:t xml:space="preserve"> is</w:t>
      </w:r>
      <w:r w:rsidR="005F2C32">
        <w:t xml:space="preserve"> vereist bij een toekenning van de top-up</w:t>
      </w:r>
      <w:r w:rsidR="00464971">
        <w:t>:</w:t>
      </w:r>
      <w:r w:rsidR="000E1C5C">
        <w:t xml:space="preserve"> </w:t>
      </w:r>
    </w:p>
    <w:p w14:paraId="60640F2E" w14:textId="59F2F059" w:rsidR="00BC7466" w:rsidRDefault="00BC7466" w:rsidP="00097730">
      <w:r>
        <w:t xml:space="preserve">Een </w:t>
      </w:r>
      <w:r w:rsidR="002918BC">
        <w:t xml:space="preserve">getekende </w:t>
      </w:r>
      <w:proofErr w:type="spellStart"/>
      <w:r w:rsidRPr="00F40FBB">
        <w:rPr>
          <w:i/>
          <w:iCs/>
        </w:rPr>
        <w:t>self</w:t>
      </w:r>
      <w:proofErr w:type="spellEnd"/>
      <w:r w:rsidRPr="00F40FBB">
        <w:rPr>
          <w:i/>
          <w:iCs/>
        </w:rPr>
        <w:t xml:space="preserve"> </w:t>
      </w:r>
      <w:proofErr w:type="spellStart"/>
      <w:r w:rsidRPr="00F40FBB">
        <w:rPr>
          <w:i/>
          <w:iCs/>
        </w:rPr>
        <w:t>declaration</w:t>
      </w:r>
      <w:proofErr w:type="spellEnd"/>
      <w:r w:rsidR="002918BC">
        <w:rPr>
          <w:i/>
          <w:iCs/>
        </w:rPr>
        <w:t xml:space="preserve"> door de deelnemer.</w:t>
      </w:r>
    </w:p>
    <w:p w14:paraId="4F0F61C5" w14:textId="6D4E77F5" w:rsidR="00097730" w:rsidRDefault="002918BC" w:rsidP="00097730">
      <w:r>
        <w:rPr>
          <w:rFonts w:cstheme="minorHAnsi"/>
        </w:rPr>
        <w:t xml:space="preserve">Deze </w:t>
      </w:r>
      <w:proofErr w:type="spellStart"/>
      <w:r w:rsidRPr="00F40FBB">
        <w:rPr>
          <w:rFonts w:cstheme="minorHAnsi"/>
          <w:i/>
          <w:iCs/>
        </w:rPr>
        <w:t>self</w:t>
      </w:r>
      <w:proofErr w:type="spellEnd"/>
      <w:r w:rsidRPr="00F40FBB">
        <w:rPr>
          <w:rFonts w:cstheme="minorHAnsi"/>
          <w:i/>
          <w:iCs/>
        </w:rPr>
        <w:t xml:space="preserve"> </w:t>
      </w:r>
      <w:proofErr w:type="spellStart"/>
      <w:r w:rsidRPr="00F40FBB">
        <w:rPr>
          <w:rFonts w:cstheme="minorHAnsi"/>
          <w:i/>
          <w:iCs/>
        </w:rPr>
        <w:t>declaration</w:t>
      </w:r>
      <w:proofErr w:type="spellEnd"/>
      <w:r w:rsidRPr="00F40FBB">
        <w:rPr>
          <w:rFonts w:cstheme="minorHAnsi"/>
          <w:i/>
          <w:iCs/>
        </w:rPr>
        <w:t xml:space="preserve"> </w:t>
      </w:r>
      <w:r>
        <w:rPr>
          <w:rFonts w:cstheme="minorHAnsi"/>
        </w:rPr>
        <w:t xml:space="preserve">mag worden aangevuld met de onderstaande documenten. </w:t>
      </w:r>
      <w:r w:rsidR="000E1C5C">
        <w:t xml:space="preserve">Deze zijn </w:t>
      </w:r>
      <w:r w:rsidR="001F561C">
        <w:t xml:space="preserve">in de meeste gevallen al aanwezig bij de onderwijsinstelling of </w:t>
      </w:r>
      <w:r w:rsidR="000E1C5C">
        <w:t xml:space="preserve">bij </w:t>
      </w:r>
      <w:r w:rsidR="001F561C">
        <w:t>de deelnemer</w:t>
      </w:r>
      <w:r w:rsidR="005F2C32">
        <w:t>:</w:t>
      </w:r>
    </w:p>
    <w:p w14:paraId="591FE281" w14:textId="77777777" w:rsidR="00BC7466" w:rsidRDefault="00BC7466" w:rsidP="00097730"/>
    <w:p w14:paraId="20FA4440" w14:textId="4D80E260" w:rsidR="00246510" w:rsidRDefault="00246510" w:rsidP="00F30054">
      <w:pPr>
        <w:pStyle w:val="Lijstalinea"/>
        <w:numPr>
          <w:ilvl w:val="0"/>
          <w:numId w:val="16"/>
        </w:numPr>
        <w:spacing w:after="0"/>
      </w:pPr>
      <w:r>
        <w:t>Bij</w:t>
      </w:r>
      <w:r w:rsidR="00F30054">
        <w:t xml:space="preserve"> deelnemers (studenten) met </w:t>
      </w:r>
      <w:r w:rsidR="007306BE">
        <w:t>een handicap of gezondheidsproblemen:</w:t>
      </w:r>
      <w:r w:rsidR="00F30054">
        <w:t xml:space="preserve"> </w:t>
      </w:r>
    </w:p>
    <w:p w14:paraId="4BBADD1B" w14:textId="77777777" w:rsidR="00F30054" w:rsidRDefault="00F30054" w:rsidP="00246510">
      <w:pPr>
        <w:pStyle w:val="Lijstalinea"/>
        <w:numPr>
          <w:ilvl w:val="1"/>
          <w:numId w:val="16"/>
        </w:numPr>
        <w:spacing w:after="0"/>
      </w:pPr>
      <w:r>
        <w:t>een doktersverklaring</w:t>
      </w:r>
      <w:r w:rsidR="005D3D18">
        <w:t xml:space="preserve"> of andere geldige gezondheidsverklaring</w:t>
      </w:r>
      <w:r w:rsidR="00D751EB">
        <w:t>.</w:t>
      </w:r>
    </w:p>
    <w:p w14:paraId="5AC13910" w14:textId="490EB9B2" w:rsidR="00F30054" w:rsidRDefault="00F30054" w:rsidP="00F30054">
      <w:pPr>
        <w:pStyle w:val="Lijstalinea"/>
        <w:numPr>
          <w:ilvl w:val="0"/>
          <w:numId w:val="16"/>
        </w:numPr>
        <w:spacing w:after="0"/>
      </w:pPr>
      <w:r>
        <w:t>Bij deelnemers (studenten) met economische belemmeringen</w:t>
      </w:r>
      <w:r w:rsidR="00246510">
        <w:t>:</w:t>
      </w:r>
    </w:p>
    <w:p w14:paraId="3DE6D393" w14:textId="385C430A" w:rsidR="00705E45" w:rsidRDefault="00246510" w:rsidP="00705E45">
      <w:pPr>
        <w:pStyle w:val="Lijstalinea"/>
        <w:numPr>
          <w:ilvl w:val="1"/>
          <w:numId w:val="16"/>
        </w:numPr>
        <w:spacing w:after="0"/>
      </w:pPr>
      <w:r>
        <w:t xml:space="preserve">Een </w:t>
      </w:r>
      <w:r w:rsidR="00DC7A6F">
        <w:t>bewijs</w:t>
      </w:r>
      <w:r>
        <w:t xml:space="preserve"> </w:t>
      </w:r>
      <w:r w:rsidR="001F561C">
        <w:t xml:space="preserve">van </w:t>
      </w:r>
      <w:r w:rsidR="00084478">
        <w:t xml:space="preserve">een toegekende </w:t>
      </w:r>
      <w:r w:rsidR="0067029C">
        <w:t xml:space="preserve">aanvullende </w:t>
      </w:r>
      <w:r w:rsidR="00C5258E">
        <w:t>beurs</w:t>
      </w:r>
      <w:r w:rsidR="0067029C">
        <w:t xml:space="preserve"> </w:t>
      </w:r>
      <w:r>
        <w:t>van DUO</w:t>
      </w:r>
      <w:r w:rsidR="00883DC0">
        <w:t xml:space="preserve">, </w:t>
      </w:r>
      <w:r w:rsidR="00285613">
        <w:t>zijnde niet 0,= (nul) euro</w:t>
      </w:r>
      <w:r w:rsidR="00A1142D">
        <w:t>. D</w:t>
      </w:r>
      <w:r w:rsidR="00084478">
        <w:t xml:space="preserve">it </w:t>
      </w:r>
      <w:r w:rsidR="00A1142D">
        <w:t xml:space="preserve">bewijs is </w:t>
      </w:r>
      <w:r w:rsidR="005613CF">
        <w:t xml:space="preserve">voor de toekenning van de </w:t>
      </w:r>
      <w:r w:rsidR="00E3444A">
        <w:t xml:space="preserve">inclusie </w:t>
      </w:r>
      <w:r w:rsidR="005613CF">
        <w:t xml:space="preserve">top-up </w:t>
      </w:r>
      <w:r w:rsidR="00A1142D">
        <w:t>nog geldig tot en met twee jaar na beëindiging van de studie</w:t>
      </w:r>
      <w:r w:rsidR="00883DC0">
        <w:t>. Hierbij is het niet van belang in welk jaar van de studie dit bewijs is afgegeven.</w:t>
      </w:r>
    </w:p>
    <w:p w14:paraId="1FC3BDCF" w14:textId="77777777" w:rsidR="00346C60" w:rsidRDefault="00346C60">
      <w:pPr>
        <w:rPr>
          <w:rFonts w:asciiTheme="majorHAnsi" w:eastAsiaTheme="majorEastAsia" w:hAnsiTheme="majorHAnsi" w:cstheme="majorBidi"/>
          <w:color w:val="2F5496" w:themeColor="accent1" w:themeShade="BF"/>
          <w:sz w:val="32"/>
          <w:szCs w:val="32"/>
        </w:rPr>
      </w:pPr>
      <w:r>
        <w:br w:type="page"/>
      </w:r>
    </w:p>
    <w:p w14:paraId="1BC8F574" w14:textId="6D102762" w:rsidR="009022A7" w:rsidRPr="000A4A18" w:rsidRDefault="00CB3397" w:rsidP="009022A7">
      <w:pPr>
        <w:pStyle w:val="Kop1"/>
      </w:pPr>
      <w:bookmarkStart w:id="3" w:name="_Toc113359651"/>
      <w:r>
        <w:lastRenderedPageBreak/>
        <w:t>Doelgroepen en b</w:t>
      </w:r>
      <w:r w:rsidR="00825DCD">
        <w:t>elemmeringen voor toegankelijkheid en bereik</w:t>
      </w:r>
      <w:bookmarkEnd w:id="3"/>
    </w:p>
    <w:p w14:paraId="48D97242" w14:textId="6A8063AD" w:rsidR="009022A7" w:rsidRDefault="009022A7" w:rsidP="009022A7">
      <w:r w:rsidRPr="000A4A18">
        <w:t>Het N</w:t>
      </w:r>
      <w:r>
        <w:t xml:space="preserve">A neemt de definities voor </w:t>
      </w:r>
      <w:r w:rsidRPr="002B02CC">
        <w:rPr>
          <w:i/>
          <w:iCs/>
        </w:rPr>
        <w:t>Doelgroepen</w:t>
      </w:r>
      <w:r>
        <w:t xml:space="preserve"> en </w:t>
      </w:r>
      <w:r w:rsidRPr="002B02CC">
        <w:rPr>
          <w:i/>
          <w:iCs/>
        </w:rPr>
        <w:t>Belemmeringen voor toegankelijkheid en bereik</w:t>
      </w:r>
      <w:r>
        <w:t xml:space="preserve"> in acht, zoals beschreven in de </w:t>
      </w:r>
      <w:r w:rsidRPr="003E1AD7">
        <w:rPr>
          <w:i/>
          <w:iCs/>
        </w:rPr>
        <w:t>Erasmus+ programmagids 2021</w:t>
      </w:r>
      <w:r>
        <w:t xml:space="preserve"> en in de </w:t>
      </w:r>
      <w:r>
        <w:rPr>
          <w:i/>
          <w:iCs/>
        </w:rPr>
        <w:t xml:space="preserve">Richtlijnen voor de uitwerking Inclusie- en diversiteitsstrategie van Erasmus+ en het </w:t>
      </w:r>
      <w:r w:rsidRPr="00DE1AC7">
        <w:rPr>
          <w:i/>
          <w:iCs/>
        </w:rPr>
        <w:t>Europe</w:t>
      </w:r>
      <w:r>
        <w:rPr>
          <w:i/>
          <w:iCs/>
        </w:rPr>
        <w:t>es</w:t>
      </w:r>
      <w:r w:rsidRPr="00DE1AC7">
        <w:rPr>
          <w:i/>
          <w:iCs/>
        </w:rPr>
        <w:t xml:space="preserve"> Solidarit</w:t>
      </w:r>
      <w:r>
        <w:rPr>
          <w:i/>
          <w:iCs/>
        </w:rPr>
        <w:t xml:space="preserve">eitskorps </w:t>
      </w:r>
      <w:r w:rsidRPr="00DE1AC7">
        <w:t>(Europe</w:t>
      </w:r>
      <w:r>
        <w:t xml:space="preserve">se </w:t>
      </w:r>
      <w:r w:rsidRPr="00DE1AC7">
        <w:t>Commissi</w:t>
      </w:r>
      <w:r>
        <w:t>e</w:t>
      </w:r>
      <w:r w:rsidRPr="00DE1AC7">
        <w:t>, 29-04-2021).</w:t>
      </w:r>
      <w:r w:rsidRPr="009022A7">
        <w:t xml:space="preserve"> </w:t>
      </w:r>
      <w:r>
        <w:t>Deze belemmeringen kunnen, afzonderlijk of in combinatie, de deelname van deze groepen in de weg staan</w:t>
      </w:r>
    </w:p>
    <w:p w14:paraId="4E9A6910" w14:textId="77777777" w:rsidR="00825DCD" w:rsidRDefault="00825DCD" w:rsidP="00825DCD">
      <w:pPr>
        <w:pStyle w:val="Geenafstand"/>
      </w:pPr>
    </w:p>
    <w:p w14:paraId="14BD78F6" w14:textId="5E00467B" w:rsidR="00825DCD" w:rsidRPr="00BE19B6" w:rsidRDefault="00825DCD" w:rsidP="0071728B">
      <w:pPr>
        <w:pStyle w:val="Kop4"/>
        <w:numPr>
          <w:ilvl w:val="0"/>
          <w:numId w:val="6"/>
        </w:numPr>
      </w:pPr>
      <w:r w:rsidRPr="00BE19B6">
        <w:t>Handicap</w:t>
      </w:r>
    </w:p>
    <w:p w14:paraId="43D6294B" w14:textId="77777777" w:rsidR="00825DCD" w:rsidRDefault="00825DCD" w:rsidP="00825DCD">
      <w:pPr>
        <w:pStyle w:val="Geenafstand"/>
      </w:pPr>
      <w:r>
        <w:t>Dit betreft fysieke, mentale, intellectuele of zintuiglijke beperkingen die mensen in wisselwerking met diverse drempels kunnen beletten volledig, effectief en op voet van gelijkheid met anderen in de samenleving te participeren</w:t>
      </w:r>
      <w:r>
        <w:rPr>
          <w:rStyle w:val="Voetnootmarkering"/>
        </w:rPr>
        <w:footnoteReference w:id="5"/>
      </w:r>
      <w:r>
        <w:t>.</w:t>
      </w:r>
    </w:p>
    <w:p w14:paraId="09FAF75E" w14:textId="77777777" w:rsidR="00825DCD" w:rsidRDefault="00825DCD" w:rsidP="00825DCD">
      <w:pPr>
        <w:pStyle w:val="Geenafstand"/>
      </w:pPr>
    </w:p>
    <w:p w14:paraId="7BF091CF" w14:textId="2D8907C1" w:rsidR="00825DCD" w:rsidRDefault="00825DCD" w:rsidP="00442EE2">
      <w:pPr>
        <w:pStyle w:val="Kop4"/>
        <w:numPr>
          <w:ilvl w:val="0"/>
          <w:numId w:val="6"/>
        </w:numPr>
      </w:pPr>
      <w:r>
        <w:t>Gezondheidsproblemen</w:t>
      </w:r>
    </w:p>
    <w:p w14:paraId="5716A909" w14:textId="77777777" w:rsidR="00825DCD" w:rsidRDefault="00825DCD" w:rsidP="00825DCD">
      <w:pPr>
        <w:pStyle w:val="Geenafstand"/>
      </w:pPr>
      <w:r>
        <w:t>Dit betreft belemmeringen als gevolg van gezondheidsproblemen, onder meer in de vorm van een ernstige ziekte, een chronische ziekte of een andere fysieke of geestelijke gezondheidstoestand, die deelname aan het programma in de weg staan.</w:t>
      </w:r>
    </w:p>
    <w:p w14:paraId="1B5F9B68" w14:textId="77777777" w:rsidR="00825DCD" w:rsidRDefault="00825DCD" w:rsidP="00825DCD">
      <w:pPr>
        <w:pStyle w:val="Geenafstand"/>
      </w:pPr>
    </w:p>
    <w:p w14:paraId="3DD9B627" w14:textId="10C9A9AA" w:rsidR="00825DCD" w:rsidRDefault="00825DCD" w:rsidP="00442EE2">
      <w:pPr>
        <w:pStyle w:val="Kop4"/>
        <w:numPr>
          <w:ilvl w:val="0"/>
          <w:numId w:val="6"/>
        </w:numPr>
      </w:pPr>
      <w:r>
        <w:t>Belemmeringen met betrekking tot onderwijs- en opleidingsstelsels</w:t>
      </w:r>
    </w:p>
    <w:p w14:paraId="642DDA0C" w14:textId="77777777" w:rsidR="00825DCD" w:rsidRDefault="00825DCD" w:rsidP="00825DCD">
      <w:pPr>
        <w:pStyle w:val="Geenafstand"/>
      </w:pPr>
      <w:r>
        <w:t xml:space="preserve">Personen die om uiteenlopende redenen ondermaats presteren binnen de onderwijs- en opleidingsstelsels, voortijdige schoolverlaters, </w:t>
      </w:r>
      <w:proofErr w:type="spellStart"/>
      <w:r>
        <w:t>NEET’s</w:t>
      </w:r>
      <w:proofErr w:type="spellEnd"/>
      <w:r>
        <w:t xml:space="preserve"> (</w:t>
      </w:r>
      <w:proofErr w:type="spellStart"/>
      <w:r w:rsidRPr="00983892">
        <w:rPr>
          <w:i/>
          <w:iCs/>
        </w:rPr>
        <w:t>Not</w:t>
      </w:r>
      <w:proofErr w:type="spellEnd"/>
      <w:r w:rsidRPr="00983892">
        <w:rPr>
          <w:i/>
          <w:iCs/>
        </w:rPr>
        <w:t xml:space="preserve"> in </w:t>
      </w:r>
      <w:proofErr w:type="spellStart"/>
      <w:r w:rsidRPr="00983892">
        <w:rPr>
          <w:i/>
          <w:iCs/>
        </w:rPr>
        <w:t>Education</w:t>
      </w:r>
      <w:proofErr w:type="spellEnd"/>
      <w:r w:rsidRPr="00983892">
        <w:rPr>
          <w:i/>
          <w:iCs/>
        </w:rPr>
        <w:t xml:space="preserve">, </w:t>
      </w:r>
      <w:proofErr w:type="spellStart"/>
      <w:r w:rsidRPr="00983892">
        <w:rPr>
          <w:i/>
          <w:iCs/>
        </w:rPr>
        <w:t>Employment</w:t>
      </w:r>
      <w:proofErr w:type="spellEnd"/>
      <w:r w:rsidRPr="00983892">
        <w:rPr>
          <w:i/>
          <w:iCs/>
        </w:rPr>
        <w:t xml:space="preserve"> or Training:</w:t>
      </w:r>
      <w:r>
        <w:t xml:space="preserve"> personen die geen baan hebben en ook geen onderwijs of opleiding volgen) en laaggeschoolde volwassenen, hebben mogelijk met belemmeringen te kampen. Hoewel ook andere factoren een rol kunnen spelen, zijn deze onderwijsmoeilijkheden — die weliswaar ook verband kunnen houden met persoonlijke omstandigheden — over het algemeen het resultaat van een onderwijsstelsel dat structurele beperkingen tot gevolg heeft en/of waarin geen rekening wordt gehouden met de specifieke behoeften van individuele personen. Daarnaast kunnen er belemmeringen ten aanzien van deelname ontstaan wanneer de opzet van de curricula het lastig maakt om mogelijkheden voor leer- en opleidingsmobiliteit in het buitenland te creëren als onderdeel van de studie.</w:t>
      </w:r>
    </w:p>
    <w:p w14:paraId="4E12DD11" w14:textId="77777777" w:rsidR="00825DCD" w:rsidRDefault="00825DCD" w:rsidP="00825DCD">
      <w:pPr>
        <w:pStyle w:val="Geenafstand"/>
      </w:pPr>
    </w:p>
    <w:p w14:paraId="44B7C5CB" w14:textId="0854071C" w:rsidR="00825DCD" w:rsidRDefault="00825DCD" w:rsidP="00442EE2">
      <w:pPr>
        <w:pStyle w:val="Kop4"/>
        <w:numPr>
          <w:ilvl w:val="0"/>
          <w:numId w:val="6"/>
        </w:numPr>
      </w:pPr>
      <w:r>
        <w:t>Cultuurverschillen</w:t>
      </w:r>
    </w:p>
    <w:p w14:paraId="592BD6CF" w14:textId="77777777" w:rsidR="00825DCD" w:rsidRDefault="00825DCD" w:rsidP="00825DCD">
      <w:pPr>
        <w:pStyle w:val="Geenafstand"/>
      </w:pPr>
      <w:r>
        <w:t>Cultuurverschillen kunnen weliswaar door mensen met welke achtergrond dan ook als een belemmering worden ervaren, toch zijn het met name de kansarmen die hiermee te maken krijgen. Deze verschillen kunnen bestaan uit aanzienlijke belemmeringen met betrekking tot leren in het algemeen, met name voor mensen met een migranten- of vluchtelingenachtergrond (en nog meer in het bijzonder, voor pas aangekomen migranten), leden van nationale of etnische minderheden, mensen die afhankelijk zijn van gebarentaal, mensen voor wie taalaanpassing of culturele integratie een probleem vormt enzovoort. Wanneer deelname aan bepaalde programma-activiteiten gepaard gaat met blootstelling aan vreemde talen en cultuurverschillen, zullen sommige mensen huiverig zijn deel te nemen of worden de voordelen van hun deelname beperkt. Dergelijke cultuurverschillen kunnen potentiële deelnemers er zelfs van weerhouden steun in het kader van de programma’s aan te vragen en vormen in dat geval een belemmering voor toegang tot het programma zelf.</w:t>
      </w:r>
    </w:p>
    <w:p w14:paraId="01DCA9C8" w14:textId="77777777" w:rsidR="00825DCD" w:rsidRDefault="00825DCD" w:rsidP="00825DCD">
      <w:pPr>
        <w:pStyle w:val="Geenafstand"/>
      </w:pPr>
    </w:p>
    <w:p w14:paraId="096A0453" w14:textId="022C17BF" w:rsidR="00825DCD" w:rsidRDefault="00825DCD" w:rsidP="005C43E0">
      <w:pPr>
        <w:pStyle w:val="Kop4"/>
        <w:numPr>
          <w:ilvl w:val="0"/>
          <w:numId w:val="6"/>
        </w:numPr>
      </w:pPr>
      <w:r>
        <w:t>Sociale belemmeringen</w:t>
      </w:r>
    </w:p>
    <w:p w14:paraId="43348D24" w14:textId="77777777" w:rsidR="00825DCD" w:rsidRDefault="00825DCD" w:rsidP="00825DCD">
      <w:pPr>
        <w:pStyle w:val="Geenafstand"/>
      </w:pPr>
      <w:r>
        <w:t>Problemen met betrekking tot sociale aanpassing, zoals beperkte sociale vaardigheden, antisociaal of risicogedrag, (ex-)gedetineerden, (voormalige) drugs- of alcoholverslaafden, of sociale marginalisering, kunnen een belemmering vormen. Weer andere sociale belemmeringen kunnen het gevolg zijn van de gezinssituatie, bijvoorbeeld de eerste in het gezin zijn die hoger onderwijs volgt, dan wel een ouder (met name een alleenstaande ouder), kostwinner of wees zijn, of in een instelling wonen of hebben gewoond.</w:t>
      </w:r>
    </w:p>
    <w:p w14:paraId="52177642" w14:textId="77777777" w:rsidR="00825DCD" w:rsidRDefault="00825DCD" w:rsidP="00825DCD">
      <w:pPr>
        <w:pStyle w:val="Geenafstand"/>
      </w:pPr>
    </w:p>
    <w:p w14:paraId="6920AAE0" w14:textId="2C0E8A1B" w:rsidR="00825DCD" w:rsidRDefault="00825DCD" w:rsidP="005C43E0">
      <w:pPr>
        <w:pStyle w:val="Kop4"/>
        <w:numPr>
          <w:ilvl w:val="0"/>
          <w:numId w:val="6"/>
        </w:numPr>
      </w:pPr>
      <w:r>
        <w:lastRenderedPageBreak/>
        <w:t>Economische belemmeringen</w:t>
      </w:r>
    </w:p>
    <w:p w14:paraId="2548389B" w14:textId="77777777" w:rsidR="00825DCD" w:rsidRDefault="00825DCD" w:rsidP="00825DCD">
      <w:pPr>
        <w:pStyle w:val="Geenafstand"/>
      </w:pPr>
      <w:r>
        <w:t xml:space="preserve">Mensen met een lage levensstandaard of laag inkomen, mensen die afhankelijk zijn van sociale bijstand, langdurig werkloos zijn, in een onzekere situatie of armoede leven, dakloos zijn, schulden of financiële problemen hebben enzovoort, en </w:t>
      </w:r>
      <w:proofErr w:type="spellStart"/>
      <w:r>
        <w:t>lerenden</w:t>
      </w:r>
      <w:proofErr w:type="spellEnd"/>
      <w:r>
        <w:t xml:space="preserve"> die moeten werken om in hun levensonderhoud te voorzien, kunnen te kampen krijgen met economische belemmeringen. </w:t>
      </w:r>
    </w:p>
    <w:p w14:paraId="5EB054FE" w14:textId="77777777" w:rsidR="00825DCD" w:rsidRDefault="00825DCD" w:rsidP="00825DCD">
      <w:pPr>
        <w:pStyle w:val="Geenafstand"/>
      </w:pPr>
      <w:r>
        <w:t>Weer andere problemen zijn het gevolg van de beperkte overdraagbaarheid van diensten (met name steun aan kansarmen) die samen met de deelnemers “mobiel” moeten zijn wanneer ze naar afgelegen plaatsen of het buitenland gaan.</w:t>
      </w:r>
    </w:p>
    <w:p w14:paraId="2DB98771" w14:textId="77777777" w:rsidR="00825DCD" w:rsidRDefault="00825DCD" w:rsidP="00825DCD">
      <w:pPr>
        <w:pStyle w:val="Geenafstand"/>
      </w:pPr>
    </w:p>
    <w:p w14:paraId="418DB47F" w14:textId="02DE6D86" w:rsidR="00825DCD" w:rsidRDefault="00825DCD" w:rsidP="005C43E0">
      <w:pPr>
        <w:pStyle w:val="Kop4"/>
        <w:numPr>
          <w:ilvl w:val="0"/>
          <w:numId w:val="6"/>
        </w:numPr>
      </w:pPr>
      <w:r>
        <w:t>Belemmeringen als gevolg van discriminatie</w:t>
      </w:r>
    </w:p>
    <w:p w14:paraId="745239AF" w14:textId="77777777" w:rsidR="00825DCD" w:rsidRDefault="00825DCD" w:rsidP="00825DCD">
      <w:pPr>
        <w:pStyle w:val="Geenafstand"/>
      </w:pPr>
      <w:r>
        <w:t xml:space="preserve">Belemmeringen kunnen ontstaan als gevolg van discriminatie die verband houdt met gender (genderidentiteit, genderexpressie enz.), leeftijd, etniciteit, godsdienst, geloof, seksuele geaardheid, handicap of </w:t>
      </w:r>
      <w:proofErr w:type="spellStart"/>
      <w:r>
        <w:t>intersectionele</w:t>
      </w:r>
      <w:proofErr w:type="spellEnd"/>
      <w:r>
        <w:t xml:space="preserve"> factoren (een combinatie van meerdere van de hierboven vermelde discriminatiebelemmeringen).</w:t>
      </w:r>
    </w:p>
    <w:p w14:paraId="117BEEB4" w14:textId="77777777" w:rsidR="00825DCD" w:rsidRDefault="00825DCD" w:rsidP="00825DCD">
      <w:pPr>
        <w:pStyle w:val="Geenafstand"/>
      </w:pPr>
    </w:p>
    <w:p w14:paraId="5A813A3E" w14:textId="7BF4E362" w:rsidR="00825DCD" w:rsidRDefault="00825DCD" w:rsidP="005C43E0">
      <w:pPr>
        <w:pStyle w:val="Kop4"/>
        <w:numPr>
          <w:ilvl w:val="0"/>
          <w:numId w:val="6"/>
        </w:numPr>
      </w:pPr>
      <w:r>
        <w:t>Geografische belemmeringen</w:t>
      </w:r>
    </w:p>
    <w:p w14:paraId="095A6E64" w14:textId="4AF2CD19" w:rsidR="009D6B41" w:rsidRDefault="00825DCD" w:rsidP="000E1C5C">
      <w:pPr>
        <w:pStyle w:val="Geenafstand"/>
      </w:pPr>
      <w:r>
        <w:t>Mensen uit afgelegen of landelijke gebieden, mensen die wonen op kleine eilanden of in perifere/ultra-perifere gebieden, mensen uit stedelijke buitenwijken, mensen uit gebieden met minder voorzieningen (beperkt openbaar vervoer, weinig faciliteiten) of minder ontwikkelde gebieden in derde landen enzovoort, kunnen te kampen krijgen met geografische belemmeringen.</w:t>
      </w:r>
    </w:p>
    <w:p w14:paraId="5FB32075" w14:textId="75F10350" w:rsidR="000320FF" w:rsidRDefault="000320FF" w:rsidP="000E1C5C">
      <w:pPr>
        <w:pStyle w:val="Geenafstand"/>
      </w:pPr>
    </w:p>
    <w:p w14:paraId="3A1919F6" w14:textId="1A17B81A" w:rsidR="000320FF" w:rsidRDefault="000320FF" w:rsidP="00782B41"/>
    <w:sectPr w:rsidR="000320FF" w:rsidSect="00421EAC">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3448" w14:textId="77777777" w:rsidR="00152A87" w:rsidRDefault="00152A87" w:rsidP="00ED5E0F">
      <w:pPr>
        <w:spacing w:after="0" w:line="240" w:lineRule="auto"/>
      </w:pPr>
      <w:r>
        <w:separator/>
      </w:r>
    </w:p>
  </w:endnote>
  <w:endnote w:type="continuationSeparator" w:id="0">
    <w:p w14:paraId="409DADB1" w14:textId="77777777" w:rsidR="00152A87" w:rsidRDefault="00152A87" w:rsidP="00ED5E0F">
      <w:pPr>
        <w:spacing w:after="0" w:line="240" w:lineRule="auto"/>
      </w:pPr>
      <w:r>
        <w:continuationSeparator/>
      </w:r>
    </w:p>
  </w:endnote>
  <w:endnote w:type="continuationNotice" w:id="1">
    <w:p w14:paraId="079BF1F6" w14:textId="77777777" w:rsidR="00152A87" w:rsidRDefault="00152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CC0E" w14:textId="77777777" w:rsidR="000F4407" w:rsidRDefault="000F44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604803"/>
      <w:docPartObj>
        <w:docPartGallery w:val="Page Numbers (Bottom of Page)"/>
        <w:docPartUnique/>
      </w:docPartObj>
    </w:sdtPr>
    <w:sdtEndPr/>
    <w:sdtContent>
      <w:p w14:paraId="3D7CB024" w14:textId="498A6E2C" w:rsidR="00DA70A5" w:rsidRDefault="00DA70A5">
        <w:pPr>
          <w:pStyle w:val="Voettekst"/>
          <w:jc w:val="center"/>
        </w:pPr>
        <w:r>
          <w:fldChar w:fldCharType="begin"/>
        </w:r>
        <w:r>
          <w:instrText>PAGE   \* MERGEFORMAT</w:instrText>
        </w:r>
        <w:r>
          <w:fldChar w:fldCharType="separate"/>
        </w:r>
        <w:r>
          <w:t>2</w:t>
        </w:r>
        <w:r>
          <w:fldChar w:fldCharType="end"/>
        </w:r>
      </w:p>
    </w:sdtContent>
  </w:sdt>
  <w:p w14:paraId="3584DCC8" w14:textId="77777777" w:rsidR="00DA70A5" w:rsidRDefault="00DA70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8420" w14:textId="77777777" w:rsidR="000F4407" w:rsidRDefault="000F44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5B09" w14:textId="77777777" w:rsidR="00152A87" w:rsidRDefault="00152A87" w:rsidP="00ED5E0F">
      <w:pPr>
        <w:spacing w:after="0" w:line="240" w:lineRule="auto"/>
      </w:pPr>
      <w:r>
        <w:separator/>
      </w:r>
    </w:p>
  </w:footnote>
  <w:footnote w:type="continuationSeparator" w:id="0">
    <w:p w14:paraId="0E207702" w14:textId="77777777" w:rsidR="00152A87" w:rsidRDefault="00152A87" w:rsidP="00ED5E0F">
      <w:pPr>
        <w:spacing w:after="0" w:line="240" w:lineRule="auto"/>
      </w:pPr>
      <w:r>
        <w:continuationSeparator/>
      </w:r>
    </w:p>
  </w:footnote>
  <w:footnote w:type="continuationNotice" w:id="1">
    <w:p w14:paraId="37D7EC86" w14:textId="77777777" w:rsidR="00152A87" w:rsidRDefault="00152A87">
      <w:pPr>
        <w:spacing w:after="0" w:line="240" w:lineRule="auto"/>
      </w:pPr>
    </w:p>
  </w:footnote>
  <w:footnote w:id="2">
    <w:p w14:paraId="5EDD705A" w14:textId="0E743BEB" w:rsidR="00CB3397" w:rsidRDefault="00CB3397">
      <w:pPr>
        <w:pStyle w:val="Voetnoottekst"/>
      </w:pPr>
      <w:r>
        <w:rPr>
          <w:rStyle w:val="Voetnootmarkering"/>
        </w:rPr>
        <w:footnoteRef/>
      </w:r>
      <w:r>
        <w:t xml:space="preserve"> De top-up bedraagt 250 EURO per maand.</w:t>
      </w:r>
    </w:p>
  </w:footnote>
  <w:footnote w:id="3">
    <w:p w14:paraId="66CD444B" w14:textId="6BE53FAB" w:rsidR="009D3E65" w:rsidRDefault="009D3E65">
      <w:pPr>
        <w:pStyle w:val="Voetnoottekst"/>
      </w:pPr>
      <w:r>
        <w:rPr>
          <w:rStyle w:val="Voetnootmarkering"/>
        </w:rPr>
        <w:footnoteRef/>
      </w:r>
      <w:r>
        <w:t xml:space="preserve"> </w:t>
      </w:r>
      <w:r w:rsidR="00291FA2">
        <w:t>Tevens v</w:t>
      </w:r>
      <w:r w:rsidR="002D3004">
        <w:t>astgesteld door de minister van OCW</w:t>
      </w:r>
      <w:r w:rsidR="000C73D1">
        <w:t>.</w:t>
      </w:r>
    </w:p>
  </w:footnote>
  <w:footnote w:id="4">
    <w:p w14:paraId="7581BDE2" w14:textId="272D5CAF" w:rsidR="00DB599F" w:rsidRDefault="00DB599F" w:rsidP="00DB599F">
      <w:pPr>
        <w:pStyle w:val="Voetnoottekst"/>
      </w:pPr>
      <w:r>
        <w:rPr>
          <w:rStyle w:val="Voetnootmarkering"/>
        </w:rPr>
        <w:footnoteRef/>
      </w:r>
      <w:r>
        <w:t xml:space="preserve"> Niet zijnde de EU lidstaten en </w:t>
      </w:r>
      <w:r>
        <w:t>IJsland</w:t>
      </w:r>
      <w:r>
        <w:t xml:space="preserve">, </w:t>
      </w:r>
      <w:r>
        <w:t>Liechtenstein</w:t>
      </w:r>
      <w:r>
        <w:t xml:space="preserve">, </w:t>
      </w:r>
      <w:r>
        <w:t>Noord-Macedonië</w:t>
      </w:r>
      <w:r>
        <w:t xml:space="preserve">, </w:t>
      </w:r>
      <w:r>
        <w:t>Noorwegen</w:t>
      </w:r>
      <w:r>
        <w:t xml:space="preserve">, </w:t>
      </w:r>
      <w:r>
        <w:t>Servië</w:t>
      </w:r>
      <w:r>
        <w:t xml:space="preserve"> en </w:t>
      </w:r>
      <w:r>
        <w:t>Turkije</w:t>
      </w:r>
    </w:p>
  </w:footnote>
  <w:footnote w:id="5">
    <w:p w14:paraId="7B69E110" w14:textId="77777777" w:rsidR="00825DCD" w:rsidRDefault="00825DCD" w:rsidP="00825DCD">
      <w:pPr>
        <w:pStyle w:val="Voetnoottekst"/>
      </w:pPr>
      <w:r>
        <w:rPr>
          <w:rStyle w:val="Voetnootmarkering"/>
        </w:rPr>
        <w:footnoteRef/>
      </w:r>
      <w:r>
        <w:t xml:space="preserve"> Verdrag van de Verenigde Naties inzake de rechten van personen met een handicap: </w:t>
      </w:r>
      <w:hyperlink r:id="rId1" w:history="1">
        <w:r w:rsidRPr="006B74DB">
          <w:rPr>
            <w:rStyle w:val="Hyperlink"/>
          </w:rPr>
          <w:t>https://www.un.org/development/desa/disabilities/convention-on-the-rights-of-persons-with-disabilities.html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9936" w14:textId="77777777" w:rsidR="000F4407" w:rsidRDefault="000F44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58B5" w14:textId="1C2350E1" w:rsidR="0078685A" w:rsidRDefault="00B22E34">
    <w:pPr>
      <w:pStyle w:val="Koptekst"/>
    </w:pPr>
    <w:r>
      <w:rPr>
        <w:noProof/>
        <w:lang w:eastAsia="nl-NL"/>
      </w:rPr>
      <w:drawing>
        <wp:anchor distT="0" distB="0" distL="114300" distR="114300" simplePos="0" relativeHeight="251658240" behindDoc="0" locked="0" layoutInCell="1" allowOverlap="1" wp14:anchorId="3EDA9382" wp14:editId="63BA2436">
          <wp:simplePos x="0" y="0"/>
          <wp:positionH relativeFrom="page">
            <wp:posOffset>6217753</wp:posOffset>
          </wp:positionH>
          <wp:positionV relativeFrom="page">
            <wp:posOffset>57450</wp:posOffset>
          </wp:positionV>
          <wp:extent cx="1296000" cy="1166400"/>
          <wp:effectExtent l="0" t="0" r="0" b="0"/>
          <wp:wrapNone/>
          <wp:docPr id="6" name="LogoErasmusPlu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DDCE" w14:textId="77777777" w:rsidR="000F4407" w:rsidRDefault="000F44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279"/>
    <w:multiLevelType w:val="hybridMultilevel"/>
    <w:tmpl w:val="097084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D7043B"/>
    <w:multiLevelType w:val="hybridMultilevel"/>
    <w:tmpl w:val="934EC596"/>
    <w:lvl w:ilvl="0" w:tplc="39E2F57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0C481A"/>
    <w:multiLevelType w:val="hybridMultilevel"/>
    <w:tmpl w:val="ADA8770A"/>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C909D3"/>
    <w:multiLevelType w:val="hybridMultilevel"/>
    <w:tmpl w:val="06DA21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434110"/>
    <w:multiLevelType w:val="hybridMultilevel"/>
    <w:tmpl w:val="D21C2A96"/>
    <w:lvl w:ilvl="0" w:tplc="6FE29B4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355A48"/>
    <w:multiLevelType w:val="hybridMultilevel"/>
    <w:tmpl w:val="76A06B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732931"/>
    <w:multiLevelType w:val="multilevel"/>
    <w:tmpl w:val="1D721DD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4426B2"/>
    <w:multiLevelType w:val="hybridMultilevel"/>
    <w:tmpl w:val="E8A6D5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9C5601"/>
    <w:multiLevelType w:val="hybridMultilevel"/>
    <w:tmpl w:val="371EC17E"/>
    <w:lvl w:ilvl="0" w:tplc="C95EAC5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8DE06DC"/>
    <w:multiLevelType w:val="hybridMultilevel"/>
    <w:tmpl w:val="9A60D2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C5B5173"/>
    <w:multiLevelType w:val="hybridMultilevel"/>
    <w:tmpl w:val="F3222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3D23859"/>
    <w:multiLevelType w:val="hybridMultilevel"/>
    <w:tmpl w:val="3A6815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4525E9B"/>
    <w:multiLevelType w:val="hybridMultilevel"/>
    <w:tmpl w:val="2C424914"/>
    <w:lvl w:ilvl="0" w:tplc="08D8AF8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5B33FC4"/>
    <w:multiLevelType w:val="hybridMultilevel"/>
    <w:tmpl w:val="3EC2FF8A"/>
    <w:lvl w:ilvl="0" w:tplc="A3AC8E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EA86EA0"/>
    <w:multiLevelType w:val="hybridMultilevel"/>
    <w:tmpl w:val="203056B6"/>
    <w:lvl w:ilvl="0" w:tplc="EEEC96F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7B9E3040"/>
    <w:multiLevelType w:val="hybridMultilevel"/>
    <w:tmpl w:val="CA8AAC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88004344">
    <w:abstractNumId w:val="5"/>
  </w:num>
  <w:num w:numId="2" w16cid:durableId="634486089">
    <w:abstractNumId w:val="10"/>
  </w:num>
  <w:num w:numId="3" w16cid:durableId="24210286">
    <w:abstractNumId w:val="9"/>
  </w:num>
  <w:num w:numId="4" w16cid:durableId="1190755592">
    <w:abstractNumId w:val="7"/>
  </w:num>
  <w:num w:numId="5" w16cid:durableId="1982955343">
    <w:abstractNumId w:val="2"/>
  </w:num>
  <w:num w:numId="6" w16cid:durableId="1872643389">
    <w:abstractNumId w:val="8"/>
  </w:num>
  <w:num w:numId="7" w16cid:durableId="325866875">
    <w:abstractNumId w:val="13"/>
  </w:num>
  <w:num w:numId="8" w16cid:durableId="131027147">
    <w:abstractNumId w:val="0"/>
  </w:num>
  <w:num w:numId="9" w16cid:durableId="1912614824">
    <w:abstractNumId w:val="4"/>
  </w:num>
  <w:num w:numId="10" w16cid:durableId="1231816085">
    <w:abstractNumId w:val="6"/>
  </w:num>
  <w:num w:numId="11" w16cid:durableId="1456757614">
    <w:abstractNumId w:val="12"/>
  </w:num>
  <w:num w:numId="12" w16cid:durableId="835607537">
    <w:abstractNumId w:val="14"/>
  </w:num>
  <w:num w:numId="13" w16cid:durableId="870725071">
    <w:abstractNumId w:val="15"/>
  </w:num>
  <w:num w:numId="14" w16cid:durableId="3217272">
    <w:abstractNumId w:val="1"/>
  </w:num>
  <w:num w:numId="15" w16cid:durableId="1728870352">
    <w:abstractNumId w:val="11"/>
  </w:num>
  <w:num w:numId="16" w16cid:durableId="180076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71"/>
    <w:rsid w:val="00007912"/>
    <w:rsid w:val="00011417"/>
    <w:rsid w:val="00015DB9"/>
    <w:rsid w:val="00015F5B"/>
    <w:rsid w:val="00022114"/>
    <w:rsid w:val="0002751D"/>
    <w:rsid w:val="000320FF"/>
    <w:rsid w:val="00034B0D"/>
    <w:rsid w:val="00043D8F"/>
    <w:rsid w:val="00045F03"/>
    <w:rsid w:val="0005712A"/>
    <w:rsid w:val="000576C0"/>
    <w:rsid w:val="00081C59"/>
    <w:rsid w:val="00084478"/>
    <w:rsid w:val="00085398"/>
    <w:rsid w:val="00086E15"/>
    <w:rsid w:val="00097730"/>
    <w:rsid w:val="000C73D1"/>
    <w:rsid w:val="000D4357"/>
    <w:rsid w:val="000E1C5C"/>
    <w:rsid w:val="000F4407"/>
    <w:rsid w:val="000F4F1B"/>
    <w:rsid w:val="000F625C"/>
    <w:rsid w:val="00105BD1"/>
    <w:rsid w:val="001135BE"/>
    <w:rsid w:val="00113DCE"/>
    <w:rsid w:val="0012485E"/>
    <w:rsid w:val="00133F10"/>
    <w:rsid w:val="00134D18"/>
    <w:rsid w:val="00136A0D"/>
    <w:rsid w:val="00152A87"/>
    <w:rsid w:val="00174183"/>
    <w:rsid w:val="00181558"/>
    <w:rsid w:val="00185681"/>
    <w:rsid w:val="00190DEB"/>
    <w:rsid w:val="00191811"/>
    <w:rsid w:val="0019242A"/>
    <w:rsid w:val="001A1EBD"/>
    <w:rsid w:val="001A2F8C"/>
    <w:rsid w:val="001B58A3"/>
    <w:rsid w:val="001C211F"/>
    <w:rsid w:val="001C388C"/>
    <w:rsid w:val="001C5671"/>
    <w:rsid w:val="001D781E"/>
    <w:rsid w:val="001F30A4"/>
    <w:rsid w:val="001F4A12"/>
    <w:rsid w:val="001F561C"/>
    <w:rsid w:val="002034FD"/>
    <w:rsid w:val="00215524"/>
    <w:rsid w:val="002234E7"/>
    <w:rsid w:val="00225947"/>
    <w:rsid w:val="002277BF"/>
    <w:rsid w:val="00246510"/>
    <w:rsid w:val="00256B94"/>
    <w:rsid w:val="0026321A"/>
    <w:rsid w:val="00263FAB"/>
    <w:rsid w:val="0027000E"/>
    <w:rsid w:val="0027173F"/>
    <w:rsid w:val="002762CB"/>
    <w:rsid w:val="002771D0"/>
    <w:rsid w:val="00285613"/>
    <w:rsid w:val="00286DCF"/>
    <w:rsid w:val="002916E2"/>
    <w:rsid w:val="002918BC"/>
    <w:rsid w:val="00291FA2"/>
    <w:rsid w:val="00292DBD"/>
    <w:rsid w:val="0029520B"/>
    <w:rsid w:val="002A2C82"/>
    <w:rsid w:val="002A4756"/>
    <w:rsid w:val="002A672E"/>
    <w:rsid w:val="002B5EFB"/>
    <w:rsid w:val="002C0AEA"/>
    <w:rsid w:val="002D05D6"/>
    <w:rsid w:val="002D3004"/>
    <w:rsid w:val="002E4225"/>
    <w:rsid w:val="002F5A44"/>
    <w:rsid w:val="003100EC"/>
    <w:rsid w:val="003123AE"/>
    <w:rsid w:val="00314E08"/>
    <w:rsid w:val="003178D6"/>
    <w:rsid w:val="00317AD3"/>
    <w:rsid w:val="0033280A"/>
    <w:rsid w:val="00344465"/>
    <w:rsid w:val="00346C60"/>
    <w:rsid w:val="00347F20"/>
    <w:rsid w:val="003500CA"/>
    <w:rsid w:val="00350DFF"/>
    <w:rsid w:val="0036684F"/>
    <w:rsid w:val="003814DD"/>
    <w:rsid w:val="00383BF5"/>
    <w:rsid w:val="00396DA4"/>
    <w:rsid w:val="003A0B0F"/>
    <w:rsid w:val="003A1E7A"/>
    <w:rsid w:val="003A7A94"/>
    <w:rsid w:val="003B6EF6"/>
    <w:rsid w:val="003C3D35"/>
    <w:rsid w:val="003C4532"/>
    <w:rsid w:val="003C51F3"/>
    <w:rsid w:val="003C6977"/>
    <w:rsid w:val="003D6122"/>
    <w:rsid w:val="003E1AD7"/>
    <w:rsid w:val="003E60F5"/>
    <w:rsid w:val="003E633C"/>
    <w:rsid w:val="003E6ACA"/>
    <w:rsid w:val="003E7571"/>
    <w:rsid w:val="003F0B2E"/>
    <w:rsid w:val="003F6558"/>
    <w:rsid w:val="003F6966"/>
    <w:rsid w:val="003F74B8"/>
    <w:rsid w:val="00410137"/>
    <w:rsid w:val="00412779"/>
    <w:rsid w:val="004175C3"/>
    <w:rsid w:val="00421EAC"/>
    <w:rsid w:val="00422E3D"/>
    <w:rsid w:val="004340D8"/>
    <w:rsid w:val="004343F7"/>
    <w:rsid w:val="004351F2"/>
    <w:rsid w:val="004352DF"/>
    <w:rsid w:val="004362D9"/>
    <w:rsid w:val="00437DED"/>
    <w:rsid w:val="004421A7"/>
    <w:rsid w:val="00442EE2"/>
    <w:rsid w:val="004430C3"/>
    <w:rsid w:val="00445DC4"/>
    <w:rsid w:val="00445E93"/>
    <w:rsid w:val="00450801"/>
    <w:rsid w:val="00454224"/>
    <w:rsid w:val="00455524"/>
    <w:rsid w:val="004560C0"/>
    <w:rsid w:val="00456BB0"/>
    <w:rsid w:val="00457883"/>
    <w:rsid w:val="00457BED"/>
    <w:rsid w:val="00461910"/>
    <w:rsid w:val="00463702"/>
    <w:rsid w:val="00464971"/>
    <w:rsid w:val="0047035D"/>
    <w:rsid w:val="00473A4E"/>
    <w:rsid w:val="00474640"/>
    <w:rsid w:val="004759FA"/>
    <w:rsid w:val="00481509"/>
    <w:rsid w:val="00490CC5"/>
    <w:rsid w:val="00495442"/>
    <w:rsid w:val="004A0F63"/>
    <w:rsid w:val="004B4665"/>
    <w:rsid w:val="004C1E31"/>
    <w:rsid w:val="004D47B7"/>
    <w:rsid w:val="004D73E7"/>
    <w:rsid w:val="004D7801"/>
    <w:rsid w:val="004E4A72"/>
    <w:rsid w:val="004F2F24"/>
    <w:rsid w:val="005034E4"/>
    <w:rsid w:val="00504324"/>
    <w:rsid w:val="005231FF"/>
    <w:rsid w:val="00524195"/>
    <w:rsid w:val="00527795"/>
    <w:rsid w:val="0054105D"/>
    <w:rsid w:val="00556347"/>
    <w:rsid w:val="005613CF"/>
    <w:rsid w:val="00573BB3"/>
    <w:rsid w:val="00575C8D"/>
    <w:rsid w:val="005803E6"/>
    <w:rsid w:val="00591558"/>
    <w:rsid w:val="005A0ED9"/>
    <w:rsid w:val="005B1358"/>
    <w:rsid w:val="005C43E0"/>
    <w:rsid w:val="005C4AFA"/>
    <w:rsid w:val="005D0DB0"/>
    <w:rsid w:val="005D3D18"/>
    <w:rsid w:val="005D7044"/>
    <w:rsid w:val="005D72BA"/>
    <w:rsid w:val="005F2C32"/>
    <w:rsid w:val="005F3480"/>
    <w:rsid w:val="005F570F"/>
    <w:rsid w:val="006119C2"/>
    <w:rsid w:val="00613339"/>
    <w:rsid w:val="00616776"/>
    <w:rsid w:val="0062100A"/>
    <w:rsid w:val="00622B2A"/>
    <w:rsid w:val="0062309A"/>
    <w:rsid w:val="006275BE"/>
    <w:rsid w:val="00636C56"/>
    <w:rsid w:val="00647003"/>
    <w:rsid w:val="00654324"/>
    <w:rsid w:val="00662C0B"/>
    <w:rsid w:val="00667220"/>
    <w:rsid w:val="0067029C"/>
    <w:rsid w:val="00674BE6"/>
    <w:rsid w:val="006A383A"/>
    <w:rsid w:val="006A42B7"/>
    <w:rsid w:val="006B5083"/>
    <w:rsid w:val="006C779D"/>
    <w:rsid w:val="006D42AC"/>
    <w:rsid w:val="006D5EF4"/>
    <w:rsid w:val="006E217F"/>
    <w:rsid w:val="006F4314"/>
    <w:rsid w:val="006F5CBF"/>
    <w:rsid w:val="006F6AF5"/>
    <w:rsid w:val="00705E45"/>
    <w:rsid w:val="00706E16"/>
    <w:rsid w:val="0071728B"/>
    <w:rsid w:val="007306BE"/>
    <w:rsid w:val="00736377"/>
    <w:rsid w:val="007378F5"/>
    <w:rsid w:val="007408DD"/>
    <w:rsid w:val="00750174"/>
    <w:rsid w:val="00751659"/>
    <w:rsid w:val="007547E0"/>
    <w:rsid w:val="00760B2C"/>
    <w:rsid w:val="00761F1D"/>
    <w:rsid w:val="00765B21"/>
    <w:rsid w:val="00782B41"/>
    <w:rsid w:val="00783DCD"/>
    <w:rsid w:val="0078685A"/>
    <w:rsid w:val="00792B58"/>
    <w:rsid w:val="007A2CA5"/>
    <w:rsid w:val="007A5E39"/>
    <w:rsid w:val="007B16D8"/>
    <w:rsid w:val="007C1EBE"/>
    <w:rsid w:val="007C22DC"/>
    <w:rsid w:val="007D7532"/>
    <w:rsid w:val="007E687F"/>
    <w:rsid w:val="007E6FC0"/>
    <w:rsid w:val="007F0AB5"/>
    <w:rsid w:val="007F2D19"/>
    <w:rsid w:val="008036F7"/>
    <w:rsid w:val="00803B47"/>
    <w:rsid w:val="00805040"/>
    <w:rsid w:val="008107A7"/>
    <w:rsid w:val="00815B9C"/>
    <w:rsid w:val="00817D6D"/>
    <w:rsid w:val="00825DCD"/>
    <w:rsid w:val="00831FD4"/>
    <w:rsid w:val="00832CC1"/>
    <w:rsid w:val="00840B86"/>
    <w:rsid w:val="00841BB2"/>
    <w:rsid w:val="00851931"/>
    <w:rsid w:val="00853706"/>
    <w:rsid w:val="00857417"/>
    <w:rsid w:val="008657D2"/>
    <w:rsid w:val="008670E4"/>
    <w:rsid w:val="00873DFF"/>
    <w:rsid w:val="0087426C"/>
    <w:rsid w:val="0088055E"/>
    <w:rsid w:val="008832FB"/>
    <w:rsid w:val="00883B33"/>
    <w:rsid w:val="00883DC0"/>
    <w:rsid w:val="00885FAB"/>
    <w:rsid w:val="00886596"/>
    <w:rsid w:val="00891274"/>
    <w:rsid w:val="008916CD"/>
    <w:rsid w:val="00891F18"/>
    <w:rsid w:val="00892DAA"/>
    <w:rsid w:val="00894499"/>
    <w:rsid w:val="008A32F8"/>
    <w:rsid w:val="008A7580"/>
    <w:rsid w:val="008A7A80"/>
    <w:rsid w:val="008C1871"/>
    <w:rsid w:val="008C3DB6"/>
    <w:rsid w:val="008C54AE"/>
    <w:rsid w:val="008D2A39"/>
    <w:rsid w:val="008F35F1"/>
    <w:rsid w:val="008F48ED"/>
    <w:rsid w:val="00900482"/>
    <w:rsid w:val="00901683"/>
    <w:rsid w:val="009022A7"/>
    <w:rsid w:val="00903915"/>
    <w:rsid w:val="00910082"/>
    <w:rsid w:val="00915A55"/>
    <w:rsid w:val="00923339"/>
    <w:rsid w:val="00932BE3"/>
    <w:rsid w:val="009402D9"/>
    <w:rsid w:val="009410A2"/>
    <w:rsid w:val="00956463"/>
    <w:rsid w:val="00961766"/>
    <w:rsid w:val="0097108D"/>
    <w:rsid w:val="009866B4"/>
    <w:rsid w:val="00992587"/>
    <w:rsid w:val="0099431C"/>
    <w:rsid w:val="009A6007"/>
    <w:rsid w:val="009B3885"/>
    <w:rsid w:val="009C26FB"/>
    <w:rsid w:val="009C5B6B"/>
    <w:rsid w:val="009D19CB"/>
    <w:rsid w:val="009D3E65"/>
    <w:rsid w:val="009D6B41"/>
    <w:rsid w:val="009E53C7"/>
    <w:rsid w:val="00A04E36"/>
    <w:rsid w:val="00A0702A"/>
    <w:rsid w:val="00A1142D"/>
    <w:rsid w:val="00A15B06"/>
    <w:rsid w:val="00A15C8F"/>
    <w:rsid w:val="00A16D57"/>
    <w:rsid w:val="00A37D9C"/>
    <w:rsid w:val="00A40319"/>
    <w:rsid w:val="00A4394D"/>
    <w:rsid w:val="00A50F4F"/>
    <w:rsid w:val="00A54193"/>
    <w:rsid w:val="00A56678"/>
    <w:rsid w:val="00A629BD"/>
    <w:rsid w:val="00A62C3B"/>
    <w:rsid w:val="00A649A0"/>
    <w:rsid w:val="00A6765F"/>
    <w:rsid w:val="00A7037A"/>
    <w:rsid w:val="00A73F28"/>
    <w:rsid w:val="00A76865"/>
    <w:rsid w:val="00A81D9A"/>
    <w:rsid w:val="00A85BE5"/>
    <w:rsid w:val="00AA6AB8"/>
    <w:rsid w:val="00AB004A"/>
    <w:rsid w:val="00AB6139"/>
    <w:rsid w:val="00AC5C6B"/>
    <w:rsid w:val="00AC7A7E"/>
    <w:rsid w:val="00AD4181"/>
    <w:rsid w:val="00AD695D"/>
    <w:rsid w:val="00AE320E"/>
    <w:rsid w:val="00AE370E"/>
    <w:rsid w:val="00AE3A06"/>
    <w:rsid w:val="00AF02FD"/>
    <w:rsid w:val="00AF2B7D"/>
    <w:rsid w:val="00B007EE"/>
    <w:rsid w:val="00B01950"/>
    <w:rsid w:val="00B020F6"/>
    <w:rsid w:val="00B1006A"/>
    <w:rsid w:val="00B110E4"/>
    <w:rsid w:val="00B13D92"/>
    <w:rsid w:val="00B14AE3"/>
    <w:rsid w:val="00B15377"/>
    <w:rsid w:val="00B16E02"/>
    <w:rsid w:val="00B20D86"/>
    <w:rsid w:val="00B22E34"/>
    <w:rsid w:val="00B26D36"/>
    <w:rsid w:val="00B40A49"/>
    <w:rsid w:val="00B463E1"/>
    <w:rsid w:val="00B46A96"/>
    <w:rsid w:val="00B471A4"/>
    <w:rsid w:val="00B47BF0"/>
    <w:rsid w:val="00B51631"/>
    <w:rsid w:val="00B52093"/>
    <w:rsid w:val="00B52308"/>
    <w:rsid w:val="00B6274D"/>
    <w:rsid w:val="00B7779B"/>
    <w:rsid w:val="00B81AAC"/>
    <w:rsid w:val="00B90DA9"/>
    <w:rsid w:val="00B9581E"/>
    <w:rsid w:val="00BA141F"/>
    <w:rsid w:val="00BB274C"/>
    <w:rsid w:val="00BB48E8"/>
    <w:rsid w:val="00BC59E0"/>
    <w:rsid w:val="00BC7466"/>
    <w:rsid w:val="00BD7A9C"/>
    <w:rsid w:val="00BF4895"/>
    <w:rsid w:val="00BF49BF"/>
    <w:rsid w:val="00BF529B"/>
    <w:rsid w:val="00BF55A7"/>
    <w:rsid w:val="00BF6D4D"/>
    <w:rsid w:val="00C028D3"/>
    <w:rsid w:val="00C133B1"/>
    <w:rsid w:val="00C138D0"/>
    <w:rsid w:val="00C30439"/>
    <w:rsid w:val="00C519DC"/>
    <w:rsid w:val="00C5258E"/>
    <w:rsid w:val="00C526E4"/>
    <w:rsid w:val="00C55792"/>
    <w:rsid w:val="00C55F29"/>
    <w:rsid w:val="00C60322"/>
    <w:rsid w:val="00C63D54"/>
    <w:rsid w:val="00C679EB"/>
    <w:rsid w:val="00C71A57"/>
    <w:rsid w:val="00C839BC"/>
    <w:rsid w:val="00C92B8B"/>
    <w:rsid w:val="00CA0BC7"/>
    <w:rsid w:val="00CA7FA7"/>
    <w:rsid w:val="00CB3397"/>
    <w:rsid w:val="00CB6046"/>
    <w:rsid w:val="00CC5FB9"/>
    <w:rsid w:val="00CC75A4"/>
    <w:rsid w:val="00CD0C63"/>
    <w:rsid w:val="00CD6C2C"/>
    <w:rsid w:val="00CE35A0"/>
    <w:rsid w:val="00CF6031"/>
    <w:rsid w:val="00CF624B"/>
    <w:rsid w:val="00D00F24"/>
    <w:rsid w:val="00D03762"/>
    <w:rsid w:val="00D146A2"/>
    <w:rsid w:val="00D27033"/>
    <w:rsid w:val="00D321D4"/>
    <w:rsid w:val="00D44315"/>
    <w:rsid w:val="00D45611"/>
    <w:rsid w:val="00D50B12"/>
    <w:rsid w:val="00D512FF"/>
    <w:rsid w:val="00D621C0"/>
    <w:rsid w:val="00D64E97"/>
    <w:rsid w:val="00D751EB"/>
    <w:rsid w:val="00D77B0D"/>
    <w:rsid w:val="00D83E21"/>
    <w:rsid w:val="00D879B1"/>
    <w:rsid w:val="00D90E59"/>
    <w:rsid w:val="00D919D9"/>
    <w:rsid w:val="00DA3371"/>
    <w:rsid w:val="00DA70A5"/>
    <w:rsid w:val="00DB599F"/>
    <w:rsid w:val="00DC3624"/>
    <w:rsid w:val="00DC7A6F"/>
    <w:rsid w:val="00DD13DE"/>
    <w:rsid w:val="00DD6BE8"/>
    <w:rsid w:val="00DE02DD"/>
    <w:rsid w:val="00DF276F"/>
    <w:rsid w:val="00DF37B0"/>
    <w:rsid w:val="00DF496B"/>
    <w:rsid w:val="00DF536A"/>
    <w:rsid w:val="00E01318"/>
    <w:rsid w:val="00E059CB"/>
    <w:rsid w:val="00E10418"/>
    <w:rsid w:val="00E140FF"/>
    <w:rsid w:val="00E25132"/>
    <w:rsid w:val="00E3444A"/>
    <w:rsid w:val="00E370BA"/>
    <w:rsid w:val="00E37DDC"/>
    <w:rsid w:val="00E65C04"/>
    <w:rsid w:val="00E70C7F"/>
    <w:rsid w:val="00E741BD"/>
    <w:rsid w:val="00E76FFB"/>
    <w:rsid w:val="00E85D76"/>
    <w:rsid w:val="00E86139"/>
    <w:rsid w:val="00E94BA2"/>
    <w:rsid w:val="00EB14E5"/>
    <w:rsid w:val="00EC0A78"/>
    <w:rsid w:val="00EC5762"/>
    <w:rsid w:val="00EC6D0B"/>
    <w:rsid w:val="00ED1BB2"/>
    <w:rsid w:val="00ED434A"/>
    <w:rsid w:val="00ED5E0F"/>
    <w:rsid w:val="00EE569B"/>
    <w:rsid w:val="00EE5F66"/>
    <w:rsid w:val="00EE65FF"/>
    <w:rsid w:val="00EE74C9"/>
    <w:rsid w:val="00EF1FC4"/>
    <w:rsid w:val="00EF42EA"/>
    <w:rsid w:val="00F00C81"/>
    <w:rsid w:val="00F0288F"/>
    <w:rsid w:val="00F2118D"/>
    <w:rsid w:val="00F213F4"/>
    <w:rsid w:val="00F279DF"/>
    <w:rsid w:val="00F30054"/>
    <w:rsid w:val="00F323F0"/>
    <w:rsid w:val="00F40FBB"/>
    <w:rsid w:val="00F52C2C"/>
    <w:rsid w:val="00F52CC3"/>
    <w:rsid w:val="00F5362A"/>
    <w:rsid w:val="00F60A10"/>
    <w:rsid w:val="00F76257"/>
    <w:rsid w:val="00F85748"/>
    <w:rsid w:val="00F86649"/>
    <w:rsid w:val="00F90B26"/>
    <w:rsid w:val="00F94EDF"/>
    <w:rsid w:val="00F96B44"/>
    <w:rsid w:val="00FA19A2"/>
    <w:rsid w:val="00FA3DAB"/>
    <w:rsid w:val="00FB301A"/>
    <w:rsid w:val="00FB58B0"/>
    <w:rsid w:val="00FC57B0"/>
    <w:rsid w:val="00FD0554"/>
    <w:rsid w:val="00FD4D52"/>
    <w:rsid w:val="00FD53A5"/>
    <w:rsid w:val="00FE3F7A"/>
    <w:rsid w:val="00FE48FC"/>
    <w:rsid w:val="00FF24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D1893"/>
  <w15:chartTrackingRefBased/>
  <w15:docId w15:val="{B1C98C5F-A4F2-4E83-80B9-D1990656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2B41"/>
  </w:style>
  <w:style w:type="paragraph" w:styleId="Kop1">
    <w:name w:val="heading 1"/>
    <w:basedOn w:val="Standaard"/>
    <w:next w:val="Standaard"/>
    <w:link w:val="Kop1Char"/>
    <w:uiPriority w:val="9"/>
    <w:qFormat/>
    <w:rsid w:val="00782B4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82B4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unhideWhenUsed/>
    <w:qFormat/>
    <w:rsid w:val="00782B4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unhideWhenUsed/>
    <w:qFormat/>
    <w:rsid w:val="00782B41"/>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782B4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782B4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782B41"/>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782B41"/>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782B4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82B41"/>
    <w:pPr>
      <w:spacing w:after="0" w:line="240" w:lineRule="auto"/>
    </w:pPr>
  </w:style>
  <w:style w:type="character" w:customStyle="1" w:styleId="Kop1Char">
    <w:name w:val="Kop 1 Char"/>
    <w:basedOn w:val="Standaardalinea-lettertype"/>
    <w:link w:val="Kop1"/>
    <w:uiPriority w:val="9"/>
    <w:rsid w:val="00782B4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782B41"/>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rsid w:val="00782B41"/>
    <w:rPr>
      <w:rFonts w:asciiTheme="majorHAnsi" w:eastAsiaTheme="majorEastAsia" w:hAnsiTheme="majorHAnsi" w:cstheme="majorBidi"/>
      <w:color w:val="44546A" w:themeColor="text2"/>
      <w:sz w:val="24"/>
      <w:szCs w:val="24"/>
    </w:rPr>
  </w:style>
  <w:style w:type="paragraph" w:styleId="Titel">
    <w:name w:val="Title"/>
    <w:basedOn w:val="Standaard"/>
    <w:next w:val="Standaard"/>
    <w:link w:val="TitelChar"/>
    <w:uiPriority w:val="10"/>
    <w:qFormat/>
    <w:rsid w:val="00782B4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782B41"/>
    <w:rPr>
      <w:rFonts w:asciiTheme="majorHAnsi" w:eastAsiaTheme="majorEastAsia" w:hAnsiTheme="majorHAnsi" w:cstheme="majorBidi"/>
      <w:color w:val="4472C4" w:themeColor="accent1"/>
      <w:spacing w:val="-10"/>
      <w:sz w:val="56"/>
      <w:szCs w:val="56"/>
    </w:rPr>
  </w:style>
  <w:style w:type="paragraph" w:styleId="Lijstalinea">
    <w:name w:val="List Paragraph"/>
    <w:aliases w:val="1st level - Bullet List Paragraph,List Paragraph1,Lettre d'introduction,Paragrafo elenco,Medium Grid 1 - Accent 21,Fiche List Paragraph,Conclusion de partie,Dot pt,No Spacing1,List Paragraph Char Char Char,Indicator Text,Numbered Para 1,2"/>
    <w:basedOn w:val="Standaard"/>
    <w:link w:val="LijstalineaChar"/>
    <w:uiPriority w:val="34"/>
    <w:qFormat/>
    <w:rsid w:val="007E6FC0"/>
    <w:pPr>
      <w:ind w:left="720"/>
      <w:contextualSpacing/>
    </w:pPr>
  </w:style>
  <w:style w:type="paragraph" w:styleId="Voetnoottekst">
    <w:name w:val="footnote text"/>
    <w:basedOn w:val="Standaard"/>
    <w:link w:val="VoetnoottekstChar"/>
    <w:uiPriority w:val="99"/>
    <w:semiHidden/>
    <w:unhideWhenUsed/>
    <w:rsid w:val="00ED5E0F"/>
    <w:pPr>
      <w:spacing w:after="0" w:line="240" w:lineRule="auto"/>
    </w:pPr>
  </w:style>
  <w:style w:type="character" w:customStyle="1" w:styleId="VoetnoottekstChar">
    <w:name w:val="Voetnoottekst Char"/>
    <w:basedOn w:val="Standaardalinea-lettertype"/>
    <w:link w:val="Voetnoottekst"/>
    <w:uiPriority w:val="99"/>
    <w:semiHidden/>
    <w:rsid w:val="00ED5E0F"/>
    <w:rPr>
      <w:sz w:val="20"/>
      <w:szCs w:val="20"/>
    </w:rPr>
  </w:style>
  <w:style w:type="character" w:styleId="Voetnootmarkering">
    <w:name w:val="footnote reference"/>
    <w:basedOn w:val="Standaardalinea-lettertype"/>
    <w:uiPriority w:val="99"/>
    <w:semiHidden/>
    <w:unhideWhenUsed/>
    <w:rsid w:val="00ED5E0F"/>
    <w:rPr>
      <w:vertAlign w:val="superscript"/>
    </w:rPr>
  </w:style>
  <w:style w:type="paragraph" w:styleId="Koptekst">
    <w:name w:val="header"/>
    <w:basedOn w:val="Standaard"/>
    <w:link w:val="KoptekstChar"/>
    <w:uiPriority w:val="99"/>
    <w:unhideWhenUsed/>
    <w:rsid w:val="00A37D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7D9C"/>
  </w:style>
  <w:style w:type="paragraph" w:styleId="Voettekst">
    <w:name w:val="footer"/>
    <w:basedOn w:val="Standaard"/>
    <w:link w:val="VoettekstChar"/>
    <w:uiPriority w:val="99"/>
    <w:unhideWhenUsed/>
    <w:rsid w:val="00A37D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7D9C"/>
  </w:style>
  <w:style w:type="character" w:styleId="Verwijzingopmerking">
    <w:name w:val="annotation reference"/>
    <w:basedOn w:val="Standaardalinea-lettertype"/>
    <w:uiPriority w:val="99"/>
    <w:semiHidden/>
    <w:unhideWhenUsed/>
    <w:rsid w:val="00E86139"/>
    <w:rPr>
      <w:sz w:val="16"/>
      <w:szCs w:val="16"/>
    </w:rPr>
  </w:style>
  <w:style w:type="paragraph" w:styleId="Tekstopmerking">
    <w:name w:val="annotation text"/>
    <w:basedOn w:val="Standaard"/>
    <w:link w:val="TekstopmerkingChar"/>
    <w:uiPriority w:val="99"/>
    <w:semiHidden/>
    <w:unhideWhenUsed/>
    <w:rsid w:val="00E86139"/>
    <w:pPr>
      <w:spacing w:line="240" w:lineRule="auto"/>
    </w:pPr>
  </w:style>
  <w:style w:type="character" w:customStyle="1" w:styleId="TekstopmerkingChar">
    <w:name w:val="Tekst opmerking Char"/>
    <w:basedOn w:val="Standaardalinea-lettertype"/>
    <w:link w:val="Tekstopmerking"/>
    <w:uiPriority w:val="99"/>
    <w:semiHidden/>
    <w:rsid w:val="00E86139"/>
    <w:rPr>
      <w:sz w:val="20"/>
      <w:szCs w:val="20"/>
    </w:rPr>
  </w:style>
  <w:style w:type="paragraph" w:styleId="Onderwerpvanopmerking">
    <w:name w:val="annotation subject"/>
    <w:basedOn w:val="Tekstopmerking"/>
    <w:next w:val="Tekstopmerking"/>
    <w:link w:val="OnderwerpvanopmerkingChar"/>
    <w:uiPriority w:val="99"/>
    <w:semiHidden/>
    <w:unhideWhenUsed/>
    <w:rsid w:val="00E86139"/>
    <w:rPr>
      <w:b/>
      <w:bCs/>
    </w:rPr>
  </w:style>
  <w:style w:type="character" w:customStyle="1" w:styleId="OnderwerpvanopmerkingChar">
    <w:name w:val="Onderwerp van opmerking Char"/>
    <w:basedOn w:val="TekstopmerkingChar"/>
    <w:link w:val="Onderwerpvanopmerking"/>
    <w:uiPriority w:val="99"/>
    <w:semiHidden/>
    <w:rsid w:val="00E86139"/>
    <w:rPr>
      <w:b/>
      <w:bCs/>
      <w:sz w:val="20"/>
      <w:szCs w:val="20"/>
    </w:rPr>
  </w:style>
  <w:style w:type="character" w:styleId="Onopgelostemelding">
    <w:name w:val="Unresolved Mention"/>
    <w:basedOn w:val="Standaardalinea-lettertype"/>
    <w:uiPriority w:val="99"/>
    <w:unhideWhenUsed/>
    <w:rsid w:val="00E86139"/>
    <w:rPr>
      <w:color w:val="605E5C"/>
      <w:shd w:val="clear" w:color="auto" w:fill="E1DFDD"/>
    </w:rPr>
  </w:style>
  <w:style w:type="character" w:styleId="Vermelding">
    <w:name w:val="Mention"/>
    <w:basedOn w:val="Standaardalinea-lettertype"/>
    <w:uiPriority w:val="99"/>
    <w:unhideWhenUsed/>
    <w:rsid w:val="00E86139"/>
    <w:rPr>
      <w:color w:val="2B579A"/>
      <w:shd w:val="clear" w:color="auto" w:fill="E1DFDD"/>
    </w:rPr>
  </w:style>
  <w:style w:type="character" w:styleId="Hyperlink">
    <w:name w:val="Hyperlink"/>
    <w:basedOn w:val="Standaardalinea-lettertype"/>
    <w:uiPriority w:val="99"/>
    <w:unhideWhenUsed/>
    <w:rsid w:val="00825DCD"/>
    <w:rPr>
      <w:color w:val="0563C1" w:themeColor="hyperlink"/>
      <w:u w:val="single"/>
    </w:rPr>
  </w:style>
  <w:style w:type="paragraph" w:styleId="Kopvaninhoudsopgave">
    <w:name w:val="TOC Heading"/>
    <w:basedOn w:val="Kop1"/>
    <w:next w:val="Standaard"/>
    <w:uiPriority w:val="39"/>
    <w:unhideWhenUsed/>
    <w:qFormat/>
    <w:rsid w:val="00782B41"/>
    <w:pPr>
      <w:outlineLvl w:val="9"/>
    </w:pPr>
  </w:style>
  <w:style w:type="paragraph" w:styleId="Inhopg1">
    <w:name w:val="toc 1"/>
    <w:basedOn w:val="Standaard"/>
    <w:next w:val="Standaard"/>
    <w:autoRedefine/>
    <w:uiPriority w:val="39"/>
    <w:unhideWhenUsed/>
    <w:rsid w:val="00891274"/>
    <w:pPr>
      <w:tabs>
        <w:tab w:val="right" w:leader="dot" w:pos="9062"/>
      </w:tabs>
      <w:spacing w:after="100"/>
    </w:pPr>
  </w:style>
  <w:style w:type="paragraph" w:styleId="Inhopg3">
    <w:name w:val="toc 3"/>
    <w:basedOn w:val="Standaard"/>
    <w:next w:val="Standaard"/>
    <w:autoRedefine/>
    <w:uiPriority w:val="39"/>
    <w:unhideWhenUsed/>
    <w:rsid w:val="003C3D35"/>
    <w:pPr>
      <w:spacing w:after="100"/>
      <w:ind w:left="440"/>
    </w:pPr>
  </w:style>
  <w:style w:type="paragraph" w:styleId="Inhopg2">
    <w:name w:val="toc 2"/>
    <w:basedOn w:val="Standaard"/>
    <w:next w:val="Standaard"/>
    <w:autoRedefine/>
    <w:uiPriority w:val="39"/>
    <w:unhideWhenUsed/>
    <w:rsid w:val="003C3D35"/>
    <w:pPr>
      <w:spacing w:after="100"/>
      <w:ind w:left="220"/>
    </w:pPr>
  </w:style>
  <w:style w:type="character" w:styleId="Intensieveverwijzing">
    <w:name w:val="Intense Reference"/>
    <w:basedOn w:val="Standaardalinea-lettertype"/>
    <w:uiPriority w:val="32"/>
    <w:qFormat/>
    <w:rsid w:val="00782B41"/>
    <w:rPr>
      <w:b/>
      <w:bCs/>
      <w:smallCaps/>
      <w:spacing w:val="5"/>
      <w:u w:val="single"/>
    </w:rPr>
  </w:style>
  <w:style w:type="character" w:styleId="Intensievebenadrukking">
    <w:name w:val="Intense Emphasis"/>
    <w:basedOn w:val="Standaardalinea-lettertype"/>
    <w:uiPriority w:val="21"/>
    <w:qFormat/>
    <w:rsid w:val="00782B41"/>
    <w:rPr>
      <w:b/>
      <w:bCs/>
      <w:i/>
      <w:iCs/>
    </w:rPr>
  </w:style>
  <w:style w:type="character" w:customStyle="1" w:styleId="Kop4Char">
    <w:name w:val="Kop 4 Char"/>
    <w:basedOn w:val="Standaardalinea-lettertype"/>
    <w:link w:val="Kop4"/>
    <w:uiPriority w:val="9"/>
    <w:rsid w:val="00782B41"/>
    <w:rPr>
      <w:rFonts w:asciiTheme="majorHAnsi" w:eastAsiaTheme="majorEastAsia" w:hAnsiTheme="majorHAnsi" w:cstheme="majorBidi"/>
      <w:sz w:val="22"/>
      <w:szCs w:val="22"/>
    </w:rPr>
  </w:style>
  <w:style w:type="character" w:customStyle="1" w:styleId="LijstalineaChar">
    <w:name w:val="Lijstalinea Char"/>
    <w:aliases w:val="1st level - Bullet List Paragraph Char,List Paragraph1 Char,Lettre d'introduction Char,Paragrafo elenco Char,Medium Grid 1 - Accent 21 Char,Fiche List Paragraph Char,Conclusion de partie Char,Dot pt Char,No Spacing1 Char,2 Char"/>
    <w:link w:val="Lijstalinea"/>
    <w:uiPriority w:val="34"/>
    <w:rsid w:val="00DC3624"/>
  </w:style>
  <w:style w:type="table" w:styleId="Tabelraster">
    <w:name w:val="Table Grid"/>
    <w:basedOn w:val="Standaardtabel"/>
    <w:uiPriority w:val="39"/>
    <w:rsid w:val="0055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13DCE"/>
    <w:pPr>
      <w:spacing w:after="0" w:line="240" w:lineRule="auto"/>
    </w:pPr>
  </w:style>
  <w:style w:type="character" w:customStyle="1" w:styleId="Kop5Char">
    <w:name w:val="Kop 5 Char"/>
    <w:basedOn w:val="Standaardalinea-lettertype"/>
    <w:link w:val="Kop5"/>
    <w:uiPriority w:val="9"/>
    <w:semiHidden/>
    <w:rsid w:val="00782B41"/>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782B41"/>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782B41"/>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782B41"/>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782B41"/>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782B41"/>
    <w:pPr>
      <w:spacing w:line="240" w:lineRule="auto"/>
    </w:pPr>
    <w:rPr>
      <w:b/>
      <w:bCs/>
      <w:smallCaps/>
      <w:color w:val="595959" w:themeColor="text1" w:themeTint="A6"/>
      <w:spacing w:val="6"/>
    </w:rPr>
  </w:style>
  <w:style w:type="paragraph" w:styleId="Ondertitel">
    <w:name w:val="Subtitle"/>
    <w:basedOn w:val="Standaard"/>
    <w:next w:val="Standaard"/>
    <w:link w:val="OndertitelChar"/>
    <w:uiPriority w:val="11"/>
    <w:qFormat/>
    <w:rsid w:val="00782B41"/>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782B41"/>
    <w:rPr>
      <w:rFonts w:asciiTheme="majorHAnsi" w:eastAsiaTheme="majorEastAsia" w:hAnsiTheme="majorHAnsi" w:cstheme="majorBidi"/>
      <w:sz w:val="24"/>
      <w:szCs w:val="24"/>
    </w:rPr>
  </w:style>
  <w:style w:type="character" w:styleId="Zwaar">
    <w:name w:val="Strong"/>
    <w:basedOn w:val="Standaardalinea-lettertype"/>
    <w:uiPriority w:val="22"/>
    <w:qFormat/>
    <w:rsid w:val="00782B41"/>
    <w:rPr>
      <w:b/>
      <w:bCs/>
    </w:rPr>
  </w:style>
  <w:style w:type="character" w:styleId="Nadruk">
    <w:name w:val="Emphasis"/>
    <w:basedOn w:val="Standaardalinea-lettertype"/>
    <w:uiPriority w:val="20"/>
    <w:qFormat/>
    <w:rsid w:val="00782B41"/>
    <w:rPr>
      <w:i/>
      <w:iCs/>
    </w:rPr>
  </w:style>
  <w:style w:type="paragraph" w:styleId="Citaat">
    <w:name w:val="Quote"/>
    <w:basedOn w:val="Standaard"/>
    <w:next w:val="Standaard"/>
    <w:link w:val="CitaatChar"/>
    <w:uiPriority w:val="29"/>
    <w:qFormat/>
    <w:rsid w:val="00782B41"/>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782B41"/>
    <w:rPr>
      <w:i/>
      <w:iCs/>
      <w:color w:val="404040" w:themeColor="text1" w:themeTint="BF"/>
    </w:rPr>
  </w:style>
  <w:style w:type="paragraph" w:styleId="Duidelijkcitaat">
    <w:name w:val="Intense Quote"/>
    <w:basedOn w:val="Standaard"/>
    <w:next w:val="Standaard"/>
    <w:link w:val="DuidelijkcitaatChar"/>
    <w:uiPriority w:val="30"/>
    <w:qFormat/>
    <w:rsid w:val="00782B4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782B41"/>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782B41"/>
    <w:rPr>
      <w:i/>
      <w:iCs/>
      <w:color w:val="404040" w:themeColor="text1" w:themeTint="BF"/>
    </w:rPr>
  </w:style>
  <w:style w:type="character" w:styleId="Subtieleverwijzing">
    <w:name w:val="Subtle Reference"/>
    <w:basedOn w:val="Standaardalinea-lettertype"/>
    <w:uiPriority w:val="31"/>
    <w:qFormat/>
    <w:rsid w:val="00782B41"/>
    <w:rPr>
      <w:smallCaps/>
      <w:color w:val="404040" w:themeColor="text1" w:themeTint="BF"/>
      <w:u w:val="single" w:color="7F7F7F" w:themeColor="text1" w:themeTint="80"/>
    </w:rPr>
  </w:style>
  <w:style w:type="character" w:styleId="Titelvanboek">
    <w:name w:val="Book Title"/>
    <w:basedOn w:val="Standaardalinea-lettertype"/>
    <w:uiPriority w:val="33"/>
    <w:qFormat/>
    <w:rsid w:val="00782B41"/>
    <w:rPr>
      <w:b/>
      <w:bCs/>
      <w:smallCaps/>
    </w:rPr>
  </w:style>
  <w:style w:type="paragraph" w:styleId="Ballontekst">
    <w:name w:val="Balloon Text"/>
    <w:basedOn w:val="Standaard"/>
    <w:link w:val="BallontekstChar"/>
    <w:uiPriority w:val="99"/>
    <w:semiHidden/>
    <w:unhideWhenUsed/>
    <w:rsid w:val="005D0DB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D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57792">
      <w:bodyDiv w:val="1"/>
      <w:marLeft w:val="0"/>
      <w:marRight w:val="0"/>
      <w:marTop w:val="0"/>
      <w:marBottom w:val="0"/>
      <w:divBdr>
        <w:top w:val="none" w:sz="0" w:space="0" w:color="auto"/>
        <w:left w:val="none" w:sz="0" w:space="0" w:color="auto"/>
        <w:bottom w:val="none" w:sz="0" w:space="0" w:color="auto"/>
        <w:right w:val="none" w:sz="0" w:space="0" w:color="auto"/>
      </w:divBdr>
    </w:div>
    <w:div w:id="349187976">
      <w:bodyDiv w:val="1"/>
      <w:marLeft w:val="0"/>
      <w:marRight w:val="0"/>
      <w:marTop w:val="0"/>
      <w:marBottom w:val="0"/>
      <w:divBdr>
        <w:top w:val="none" w:sz="0" w:space="0" w:color="auto"/>
        <w:left w:val="none" w:sz="0" w:space="0" w:color="auto"/>
        <w:bottom w:val="none" w:sz="0" w:space="0" w:color="auto"/>
        <w:right w:val="none" w:sz="0" w:space="0" w:color="auto"/>
      </w:divBdr>
    </w:div>
    <w:div w:id="1978296199">
      <w:bodyDiv w:val="1"/>
      <w:marLeft w:val="0"/>
      <w:marRight w:val="0"/>
      <w:marTop w:val="0"/>
      <w:marBottom w:val="0"/>
      <w:divBdr>
        <w:top w:val="none" w:sz="0" w:space="0" w:color="auto"/>
        <w:left w:val="none" w:sz="0" w:space="0" w:color="auto"/>
        <w:bottom w:val="none" w:sz="0" w:space="0" w:color="auto"/>
        <w:right w:val="none" w:sz="0" w:space="0" w:color="auto"/>
      </w:divBdr>
    </w:div>
    <w:div w:id="202304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ustomXml" Target="ink/ink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disabilities/convention-on-the-rights-of-persons-with-disabilitie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03T16:28:42.576"/>
    </inkml:context>
    <inkml:brush xml:id="br0">
      <inkml:brushProperty name="width" value="0.05" units="cm"/>
      <inkml:brushProperty name="height" value="0.05" units="cm"/>
    </inkml:brush>
  </inkml:definitions>
  <inkml:trace contextRef="#ctx0" brushRef="#br0">1 0 1712,'0'0'0</inkml:trace>
</inkml:ink>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DEPDOC-959341906-269485</_dlc_DocId>
    <_dlc_DocIdUrl xmlns="27a646ec-b11d-44f2-b007-16ce52b3018b">
      <Url>https://nuffic.sharepoint.com/sites/departments/na/_layouts/15/DocIdRedir.aspx?ID=DEPDOC-959341906-269485</Url>
      <Description>DEPDOC-959341906-269485</Description>
    </_dlc_DocIdUrl>
    <_dlc_DocIdPersistId xmlns="27a646ec-b11d-44f2-b007-16ce52b3018b">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7F69A81DEB78C74383ACB203F0D22356" ma:contentTypeVersion="349" ma:contentTypeDescription="Een nieuw document maken." ma:contentTypeScope="" ma:versionID="1a6b9bc0bb966848e9dccb49ee014e5b">
  <xsd:schema xmlns:xsd="http://www.w3.org/2001/XMLSchema" xmlns:xs="http://www.w3.org/2001/XMLSchema" xmlns:p="http://schemas.microsoft.com/office/2006/metadata/properties" xmlns:ns2="27a646ec-b11d-44f2-b007-16ce52b3018b" targetNamespace="http://schemas.microsoft.com/office/2006/metadata/properties" ma:root="true" ma:fieldsID="50b5a21556fadbd40377f757571ae3f6"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ae14868-6f31-44f0-b410-52f19e37ad77" ContentTypeId="0x010100B14F659BCD6B4D44A071072585BC7B40"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3DB9DE-9D8C-428F-9687-7932749A9692}">
  <ds:schemaRefs>
    <ds:schemaRef ds:uri="http://schemas.openxmlformats.org/officeDocument/2006/bibliography"/>
  </ds:schemaRefs>
</ds:datastoreItem>
</file>

<file path=customXml/itemProps2.xml><?xml version="1.0" encoding="utf-8"?>
<ds:datastoreItem xmlns:ds="http://schemas.openxmlformats.org/officeDocument/2006/customXml" ds:itemID="{203DC968-3EB5-4102-9EC2-7F22B6314320}">
  <ds:schemaRefs>
    <ds:schemaRef ds:uri="http://schemas.microsoft.com/office/2006/metadata/properties"/>
    <ds:schemaRef ds:uri="http://schemas.microsoft.com/office/infopath/2007/PartnerControls"/>
    <ds:schemaRef ds:uri="27a646ec-b11d-44f2-b007-16ce52b3018b"/>
  </ds:schemaRefs>
</ds:datastoreItem>
</file>

<file path=customXml/itemProps3.xml><?xml version="1.0" encoding="utf-8"?>
<ds:datastoreItem xmlns:ds="http://schemas.openxmlformats.org/officeDocument/2006/customXml" ds:itemID="{8DDEA97D-4E46-487B-8BE7-6F8C0C421794}">
  <ds:schemaRefs>
    <ds:schemaRef ds:uri="http://schemas.microsoft.com/sharepoint/v3/contenttype/forms"/>
  </ds:schemaRefs>
</ds:datastoreItem>
</file>

<file path=customXml/itemProps4.xml><?xml version="1.0" encoding="utf-8"?>
<ds:datastoreItem xmlns:ds="http://schemas.openxmlformats.org/officeDocument/2006/customXml" ds:itemID="{19FB4F30-80F9-4A71-A671-B3CBDAC5C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621761-7DEF-48EB-B32C-2272BD83AE7B}">
  <ds:schemaRefs>
    <ds:schemaRef ds:uri="Microsoft.SharePoint.Taxonomy.ContentTypeSync"/>
  </ds:schemaRefs>
</ds:datastoreItem>
</file>

<file path=customXml/itemProps6.xml><?xml version="1.0" encoding="utf-8"?>
<ds:datastoreItem xmlns:ds="http://schemas.openxmlformats.org/officeDocument/2006/customXml" ds:itemID="{2FFE65C9-7692-4562-8047-7DDA709B7C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1513</Words>
  <Characters>8323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9817</CharactersWithSpaces>
  <SharedDoc>false</SharedDoc>
  <HLinks>
    <vt:vector size="24" baseType="variant">
      <vt:variant>
        <vt:i4>1245247</vt:i4>
      </vt:variant>
      <vt:variant>
        <vt:i4>14</vt:i4>
      </vt:variant>
      <vt:variant>
        <vt:i4>0</vt:i4>
      </vt:variant>
      <vt:variant>
        <vt:i4>5</vt:i4>
      </vt:variant>
      <vt:variant>
        <vt:lpwstr/>
      </vt:variant>
      <vt:variant>
        <vt:lpwstr>_Toc97023352</vt:lpwstr>
      </vt:variant>
      <vt:variant>
        <vt:i4>1048639</vt:i4>
      </vt:variant>
      <vt:variant>
        <vt:i4>8</vt:i4>
      </vt:variant>
      <vt:variant>
        <vt:i4>0</vt:i4>
      </vt:variant>
      <vt:variant>
        <vt:i4>5</vt:i4>
      </vt:variant>
      <vt:variant>
        <vt:lpwstr/>
      </vt:variant>
      <vt:variant>
        <vt:lpwstr>_Toc97023351</vt:lpwstr>
      </vt:variant>
      <vt:variant>
        <vt:i4>1114175</vt:i4>
      </vt:variant>
      <vt:variant>
        <vt:i4>2</vt:i4>
      </vt:variant>
      <vt:variant>
        <vt:i4>0</vt:i4>
      </vt:variant>
      <vt:variant>
        <vt:i4>5</vt:i4>
      </vt:variant>
      <vt:variant>
        <vt:lpwstr/>
      </vt:variant>
      <vt:variant>
        <vt:lpwstr>_Toc97023350</vt:lpwstr>
      </vt:variant>
      <vt:variant>
        <vt:i4>3604583</vt:i4>
      </vt:variant>
      <vt:variant>
        <vt:i4>0</vt:i4>
      </vt:variant>
      <vt:variant>
        <vt:i4>0</vt:i4>
      </vt:variant>
      <vt:variant>
        <vt:i4>5</vt:i4>
      </vt:variant>
      <vt:variant>
        <vt:lpwstr>https://www.un.org/development/desa/disabilities/convention-on-the-rights-of-persons-with-disabilities.html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Driessen</dc:creator>
  <cp:keywords/>
  <dc:description/>
  <cp:lastModifiedBy>Annemarie de Ruiter</cp:lastModifiedBy>
  <cp:revision>2</cp:revision>
  <cp:lastPrinted>2022-09-06T10:45:00Z</cp:lastPrinted>
  <dcterms:created xsi:type="dcterms:W3CDTF">2022-09-06T15:38:00Z</dcterms:created>
  <dcterms:modified xsi:type="dcterms:W3CDTF">2022-09-06T15:38:00Z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0x010100B14F659BCD6B4D44A071072585BC7B40007F69A81DEB78C74383ACB203F0D22356</vt:lpwstr>
  </property>
  <property fmtid="{D5CDD505-2E9C-101B-9397-08002B2CF9AE}" pid="3" name="SharedWithUsers">
    <vt:lpwstr>171;#Annemarie de Ruiter;#158;#Petra de Greeve;#3372;#Sophia Tsaldari;#3767;#Bas Beisiegel;#4291;#Kim Hagedoorn;#9310;#Erasmus+ Communicatie;#13121;#Jasper Hondelink;#4438;#Compliance;#5782;#Marianne Driessen</vt:lpwstr>
  </property>
  <property fmtid="{D5CDD505-2E9C-101B-9397-08002B2CF9AE}" pid="4" name="_dlc_DocIdItemGuid">
    <vt:lpwstr>83c9dd5b-8e39-4d4e-9bc6-a0814b08c869</vt:lpwstr>
  </property>
  <property fmtid="{D5CDD505-2E9C-101B-9397-08002B2CF9AE}" pid="5" name="TaxKeyword">
    <vt:lpwstr/>
  </property>
  <property fmtid="{D5CDD505-2E9C-101B-9397-08002B2CF9AE}" pid="6" name="LastSharedByUser">
    <vt:lpwstr/>
  </property>
  <property fmtid="{D5CDD505-2E9C-101B-9397-08002B2CF9AE}" pid="7" name="xd_ProgID">
    <vt:lpwstr/>
  </property>
  <property fmtid="{D5CDD505-2E9C-101B-9397-08002B2CF9AE}" pid="8" name="TaxCatchAll">
    <vt:lpwstr/>
  </property>
  <property fmtid="{D5CDD505-2E9C-101B-9397-08002B2CF9AE}" pid="9" name="TaxKeywordTaxHTField">
    <vt:lpwstr/>
  </property>
  <property fmtid="{D5CDD505-2E9C-101B-9397-08002B2CF9AE}" pid="10" name="TemplateUrl">
    <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