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AD00" w14:textId="02D4E620" w:rsidR="00E21C45" w:rsidRDefault="00E21C45" w:rsidP="00537794">
      <w:pPr>
        <w:pStyle w:val="Kop1"/>
        <w:rPr>
          <w:lang w:val="en-GB"/>
        </w:rPr>
      </w:pPr>
      <w:r>
        <w:rPr>
          <w:lang w:val="en-GB"/>
        </w:rPr>
        <w:t xml:space="preserve">Q&amp;A </w:t>
      </w:r>
      <w:r>
        <w:rPr>
          <w:lang w:val="en-GB"/>
        </w:rPr>
        <w:t>KA171</w:t>
      </w:r>
    </w:p>
    <w:p w14:paraId="2734BD55" w14:textId="77777777" w:rsidR="00E21C45" w:rsidRDefault="00E21C45" w:rsidP="00E21C45">
      <w:pPr>
        <w:rPr>
          <w:rFonts w:ascii="Verdana" w:hAnsi="Verdana"/>
          <w:sz w:val="18"/>
          <w:szCs w:val="18"/>
          <w:lang w:val="en-GB"/>
        </w:rPr>
      </w:pPr>
    </w:p>
    <w:p w14:paraId="1FFAAC66" w14:textId="6880A65D" w:rsidR="008C2185" w:rsidRDefault="008C2185" w:rsidP="008C2185">
      <w:pPr>
        <w:rPr>
          <w:rFonts w:ascii="Verdana" w:hAnsi="Verdana"/>
          <w:sz w:val="18"/>
          <w:szCs w:val="18"/>
          <w:lang w:val="en-GB"/>
        </w:rPr>
      </w:pPr>
      <w:r>
        <w:rPr>
          <w:rFonts w:ascii="Verdana" w:hAnsi="Verdana"/>
          <w:sz w:val="18"/>
          <w:szCs w:val="18"/>
          <w:lang w:val="en-GB"/>
        </w:rPr>
        <w:t>Below are the questions that were posed during the KA171 information session on November 18, and the respective answers.</w:t>
      </w:r>
    </w:p>
    <w:p w14:paraId="52303E06" w14:textId="77777777" w:rsidR="008C2185" w:rsidRPr="008C2185" w:rsidRDefault="008C2185" w:rsidP="008C2185">
      <w:pPr>
        <w:rPr>
          <w:rFonts w:ascii="Verdana" w:hAnsi="Verdana"/>
          <w:sz w:val="18"/>
          <w:szCs w:val="18"/>
          <w:lang w:val="en-GB"/>
        </w:rPr>
      </w:pPr>
    </w:p>
    <w:p w14:paraId="214953FD" w14:textId="77777777" w:rsidR="008C2185" w:rsidRDefault="008C2185" w:rsidP="008C2185">
      <w:pPr>
        <w:pStyle w:val="Lijstalinea"/>
        <w:rPr>
          <w:rFonts w:ascii="Verdana" w:hAnsi="Verdana"/>
          <w:sz w:val="18"/>
          <w:szCs w:val="18"/>
          <w:lang w:val="en-GB"/>
        </w:rPr>
      </w:pPr>
    </w:p>
    <w:p w14:paraId="2D5021AC" w14:textId="6EB49873" w:rsidR="00E21C45" w:rsidRPr="00537794" w:rsidRDefault="00E21C45" w:rsidP="00537794">
      <w:pPr>
        <w:pStyle w:val="Lijstalinea"/>
        <w:numPr>
          <w:ilvl w:val="0"/>
          <w:numId w:val="3"/>
        </w:numPr>
        <w:rPr>
          <w:rFonts w:ascii="Verdana" w:hAnsi="Verdana"/>
          <w:sz w:val="18"/>
          <w:szCs w:val="18"/>
          <w:lang w:val="en-GB"/>
        </w:rPr>
      </w:pPr>
      <w:r w:rsidRPr="00537794">
        <w:rPr>
          <w:rFonts w:ascii="Verdana" w:hAnsi="Verdana"/>
          <w:sz w:val="18"/>
          <w:szCs w:val="18"/>
          <w:lang w:val="en-GB"/>
        </w:rPr>
        <w:t>Regarding the application: should we add the duration per mobility</w:t>
      </w:r>
      <w:r w:rsidRPr="00537794">
        <w:rPr>
          <w:rFonts w:ascii="Verdana" w:hAnsi="Verdana"/>
          <w:sz w:val="18"/>
          <w:szCs w:val="18"/>
          <w:lang w:val="en-GB"/>
        </w:rPr>
        <w:t xml:space="preserve"> in the application form</w:t>
      </w:r>
      <w:r w:rsidRPr="00537794">
        <w:rPr>
          <w:rFonts w:ascii="Verdana" w:hAnsi="Verdana"/>
          <w:sz w:val="18"/>
          <w:szCs w:val="18"/>
          <w:lang w:val="en-GB"/>
        </w:rPr>
        <w:t>? We often send staff on longer mobilities than is usual, and we would like this to be reflected in our grant allocation if at all possible</w:t>
      </w:r>
      <w:r w:rsidR="000E558C">
        <w:rPr>
          <w:rFonts w:ascii="Verdana" w:hAnsi="Verdana"/>
          <w:sz w:val="18"/>
          <w:szCs w:val="18"/>
          <w:lang w:val="en-GB"/>
        </w:rPr>
        <w:t>.</w:t>
      </w:r>
    </w:p>
    <w:p w14:paraId="11B7E5E6" w14:textId="77777777" w:rsidR="00E21C45" w:rsidRPr="00E21C45" w:rsidRDefault="00E21C45" w:rsidP="00E21C45">
      <w:pPr>
        <w:pStyle w:val="Lijstalinea"/>
        <w:rPr>
          <w:rFonts w:ascii="Verdana" w:hAnsi="Verdana"/>
          <w:sz w:val="18"/>
          <w:szCs w:val="18"/>
          <w:lang w:val="en-GB"/>
        </w:rPr>
      </w:pPr>
    </w:p>
    <w:p w14:paraId="76289B5F" w14:textId="004E7CA1" w:rsidR="00E21C45" w:rsidRDefault="00E21C45" w:rsidP="00E21C45">
      <w:pPr>
        <w:pStyle w:val="Lijstalinea"/>
        <w:rPr>
          <w:rFonts w:ascii="Verdana" w:eastAsia="Times New Roman" w:hAnsi="Verdana"/>
          <w:sz w:val="18"/>
          <w:szCs w:val="18"/>
          <w:lang w:val="en-GB"/>
        </w:rPr>
      </w:pPr>
      <w:r>
        <w:rPr>
          <w:rFonts w:ascii="Verdana" w:eastAsia="Times New Roman" w:hAnsi="Verdana"/>
          <w:sz w:val="18"/>
          <w:szCs w:val="18"/>
          <w:lang w:val="en-GB"/>
        </w:rPr>
        <w:t>Yes, you can add the duration in months for students and in days for staff</w:t>
      </w:r>
    </w:p>
    <w:p w14:paraId="5E0FDD91" w14:textId="77777777" w:rsidR="000E558C" w:rsidRDefault="000E558C" w:rsidP="00E21C45">
      <w:pPr>
        <w:pStyle w:val="Lijstalinea"/>
        <w:rPr>
          <w:rFonts w:ascii="Verdana" w:eastAsia="Times New Roman" w:hAnsi="Verdana"/>
          <w:sz w:val="18"/>
          <w:szCs w:val="18"/>
          <w:lang w:val="en-GB"/>
        </w:rPr>
      </w:pPr>
    </w:p>
    <w:p w14:paraId="0EDD8E31" w14:textId="77777777" w:rsidR="00E21C45" w:rsidRDefault="00E21C45" w:rsidP="00E21C45">
      <w:pPr>
        <w:rPr>
          <w:rFonts w:ascii="Verdana" w:hAnsi="Verdana"/>
          <w:sz w:val="18"/>
          <w:szCs w:val="18"/>
          <w:lang w:val="en-GB"/>
        </w:rPr>
      </w:pPr>
    </w:p>
    <w:p w14:paraId="64A498E2" w14:textId="3C84509F" w:rsidR="00E21C45" w:rsidRPr="00537794" w:rsidRDefault="00E21C45" w:rsidP="00537794">
      <w:pPr>
        <w:pStyle w:val="Lijstalinea"/>
        <w:numPr>
          <w:ilvl w:val="0"/>
          <w:numId w:val="3"/>
        </w:numPr>
        <w:rPr>
          <w:rFonts w:ascii="Verdana" w:hAnsi="Verdana"/>
          <w:sz w:val="18"/>
          <w:szCs w:val="18"/>
          <w:lang w:val="en-GB"/>
        </w:rPr>
      </w:pPr>
      <w:r w:rsidRPr="00537794">
        <w:rPr>
          <w:rFonts w:ascii="Verdana" w:hAnsi="Verdana"/>
          <w:sz w:val="18"/>
          <w:szCs w:val="18"/>
          <w:lang w:val="en-GB"/>
        </w:rPr>
        <w:t>Is there any news on how we can allocate the inclusion top-up to incoming students?</w:t>
      </w:r>
    </w:p>
    <w:p w14:paraId="198A00F4" w14:textId="317A1C1C" w:rsidR="00E21C45" w:rsidRDefault="00E21C45" w:rsidP="00E21C45">
      <w:pPr>
        <w:ind w:firstLine="708"/>
        <w:rPr>
          <w:rFonts w:ascii="Verdana" w:hAnsi="Verdana"/>
          <w:sz w:val="18"/>
          <w:szCs w:val="18"/>
          <w:lang w:val="en-GB"/>
        </w:rPr>
      </w:pPr>
      <w:r>
        <w:rPr>
          <w:rFonts w:ascii="Verdana" w:hAnsi="Verdana"/>
          <w:sz w:val="18"/>
          <w:szCs w:val="18"/>
          <w:lang w:val="en-GB"/>
        </w:rPr>
        <w:t>Especially, do we need to apply the Dutch regulations for Top Up?</w:t>
      </w:r>
    </w:p>
    <w:p w14:paraId="34951E9C" w14:textId="77777777" w:rsidR="00E21C45" w:rsidRDefault="00E21C45" w:rsidP="00E21C45">
      <w:pPr>
        <w:ind w:firstLine="708"/>
        <w:rPr>
          <w:rFonts w:ascii="Verdana" w:hAnsi="Verdana"/>
          <w:sz w:val="18"/>
          <w:szCs w:val="18"/>
          <w:lang w:val="en-GB"/>
        </w:rPr>
      </w:pPr>
    </w:p>
    <w:p w14:paraId="0FBB80D5" w14:textId="21B3DC8B" w:rsidR="00537794" w:rsidRDefault="00E21C45" w:rsidP="00537794">
      <w:pPr>
        <w:pStyle w:val="Lijstalinea"/>
        <w:rPr>
          <w:rFonts w:ascii="Verdana" w:eastAsia="Times New Roman" w:hAnsi="Verdana"/>
          <w:sz w:val="18"/>
          <w:szCs w:val="18"/>
          <w:lang w:val="en-GB"/>
        </w:rPr>
      </w:pPr>
      <w:r>
        <w:rPr>
          <w:rFonts w:ascii="Verdana" w:eastAsia="Times New Roman" w:hAnsi="Verdana"/>
          <w:sz w:val="18"/>
          <w:szCs w:val="18"/>
          <w:lang w:val="en-GB"/>
        </w:rPr>
        <w:t xml:space="preserve">Yes, the same top-up regulations apply for KA131 and KA171, for incoming and outgoing students. This means that for now, it is not possible to provide incoming students belonging to group 6 with a top-up. The NA will investigate if and how this could be made possible in the future. </w:t>
      </w:r>
    </w:p>
    <w:p w14:paraId="0C2092B2" w14:textId="77777777" w:rsidR="000E558C" w:rsidRDefault="000E558C" w:rsidP="00537794">
      <w:pPr>
        <w:pStyle w:val="Lijstalinea"/>
        <w:rPr>
          <w:rFonts w:ascii="Verdana" w:eastAsia="Times New Roman" w:hAnsi="Verdana"/>
          <w:sz w:val="18"/>
          <w:szCs w:val="18"/>
          <w:lang w:val="en-GB"/>
        </w:rPr>
      </w:pPr>
    </w:p>
    <w:p w14:paraId="7F9A01FF" w14:textId="77777777" w:rsidR="000E558C" w:rsidRDefault="000E558C" w:rsidP="00537794">
      <w:pPr>
        <w:pStyle w:val="Lijstalinea"/>
        <w:rPr>
          <w:rFonts w:ascii="Verdana" w:eastAsia="Times New Roman" w:hAnsi="Verdana"/>
          <w:sz w:val="18"/>
          <w:szCs w:val="18"/>
          <w:lang w:val="en-GB"/>
        </w:rPr>
      </w:pPr>
    </w:p>
    <w:p w14:paraId="15A15157" w14:textId="7526518B" w:rsidR="00E21C45" w:rsidRPr="00537794" w:rsidRDefault="00E21C45" w:rsidP="00537794">
      <w:pPr>
        <w:pStyle w:val="Lijstalinea"/>
        <w:numPr>
          <w:ilvl w:val="0"/>
          <w:numId w:val="3"/>
        </w:numPr>
        <w:rPr>
          <w:rFonts w:ascii="Verdana" w:eastAsia="Times New Roman" w:hAnsi="Verdana"/>
          <w:sz w:val="18"/>
          <w:szCs w:val="18"/>
          <w:lang w:val="en-GB"/>
        </w:rPr>
      </w:pPr>
      <w:r>
        <w:rPr>
          <w:rFonts w:ascii="Verdana" w:hAnsi="Verdana"/>
          <w:sz w:val="18"/>
          <w:szCs w:val="18"/>
          <w:lang w:val="en-GB"/>
        </w:rPr>
        <w:t>Can you please share the countries per budget envelop again?</w:t>
      </w:r>
    </w:p>
    <w:p w14:paraId="706D15E2" w14:textId="77777777" w:rsidR="00D30C1E" w:rsidRDefault="00D30C1E" w:rsidP="00E21C45">
      <w:pPr>
        <w:ind w:firstLine="708"/>
        <w:rPr>
          <w:rFonts w:ascii="Verdana" w:hAnsi="Verdana"/>
          <w:sz w:val="18"/>
          <w:szCs w:val="18"/>
          <w:lang w:val="en-GB"/>
        </w:rPr>
      </w:pPr>
    </w:p>
    <w:p w14:paraId="564179E8" w14:textId="58A8741B" w:rsidR="000E558C" w:rsidRDefault="00A23209" w:rsidP="000E558C">
      <w:pPr>
        <w:ind w:firstLine="708"/>
        <w:rPr>
          <w:rFonts w:ascii="Verdana" w:hAnsi="Verdana"/>
          <w:sz w:val="18"/>
          <w:szCs w:val="18"/>
          <w:lang w:val="en-GB"/>
        </w:rPr>
      </w:pPr>
      <w:r>
        <w:rPr>
          <w:rFonts w:ascii="Verdana" w:hAnsi="Verdana"/>
          <w:sz w:val="18"/>
          <w:szCs w:val="18"/>
          <w:lang w:val="en-GB"/>
        </w:rPr>
        <w:t>Please see P</w:t>
      </w:r>
      <w:r w:rsidR="00E21C45">
        <w:rPr>
          <w:rFonts w:ascii="Verdana" w:hAnsi="Verdana"/>
          <w:sz w:val="18"/>
          <w:szCs w:val="18"/>
          <w:lang w:val="en-GB"/>
        </w:rPr>
        <w:t xml:space="preserve">rogramme </w:t>
      </w:r>
      <w:r>
        <w:rPr>
          <w:rFonts w:ascii="Verdana" w:hAnsi="Verdana"/>
          <w:sz w:val="18"/>
          <w:szCs w:val="18"/>
          <w:lang w:val="en-GB"/>
        </w:rPr>
        <w:t>G</w:t>
      </w:r>
      <w:r w:rsidR="00E21C45">
        <w:rPr>
          <w:rFonts w:ascii="Verdana" w:hAnsi="Verdana"/>
          <w:sz w:val="18"/>
          <w:szCs w:val="18"/>
          <w:lang w:val="en-GB"/>
        </w:rPr>
        <w:t>uide</w:t>
      </w:r>
      <w:r>
        <w:rPr>
          <w:rFonts w:ascii="Verdana" w:hAnsi="Verdana"/>
          <w:sz w:val="18"/>
          <w:szCs w:val="18"/>
          <w:lang w:val="en-GB"/>
        </w:rPr>
        <w:t xml:space="preserve"> call 2022 p. 32-34.</w:t>
      </w:r>
    </w:p>
    <w:p w14:paraId="517B078D" w14:textId="77777777" w:rsidR="000E558C" w:rsidRDefault="000E558C" w:rsidP="000E558C">
      <w:pPr>
        <w:ind w:firstLine="708"/>
        <w:rPr>
          <w:rFonts w:ascii="Verdana" w:hAnsi="Verdana"/>
          <w:sz w:val="18"/>
          <w:szCs w:val="18"/>
          <w:lang w:val="en-GB"/>
        </w:rPr>
      </w:pPr>
    </w:p>
    <w:p w14:paraId="677730ED" w14:textId="77777777" w:rsidR="000E558C" w:rsidRDefault="000E558C" w:rsidP="000E558C">
      <w:pPr>
        <w:ind w:firstLine="708"/>
        <w:rPr>
          <w:rFonts w:ascii="Verdana" w:hAnsi="Verdana"/>
          <w:sz w:val="18"/>
          <w:szCs w:val="18"/>
          <w:lang w:val="en-GB"/>
        </w:rPr>
      </w:pPr>
    </w:p>
    <w:p w14:paraId="14DAA9D8" w14:textId="3F59E025" w:rsidR="00E21C45" w:rsidRPr="000E558C" w:rsidRDefault="00E21C45" w:rsidP="000E558C">
      <w:pPr>
        <w:pStyle w:val="Lijstalinea"/>
        <w:numPr>
          <w:ilvl w:val="0"/>
          <w:numId w:val="3"/>
        </w:numPr>
        <w:rPr>
          <w:rFonts w:ascii="Verdana" w:hAnsi="Verdana"/>
          <w:sz w:val="18"/>
          <w:szCs w:val="18"/>
          <w:lang w:val="en-GB"/>
        </w:rPr>
      </w:pPr>
      <w:r w:rsidRPr="000E558C">
        <w:rPr>
          <w:rFonts w:ascii="Verdana" w:hAnsi="Verdana"/>
          <w:sz w:val="18"/>
          <w:szCs w:val="18"/>
          <w:lang w:val="en-GB"/>
        </w:rPr>
        <w:t>How to receive the application form?</w:t>
      </w:r>
    </w:p>
    <w:p w14:paraId="6936C549" w14:textId="77777777" w:rsidR="00D30C1E" w:rsidRDefault="00D30C1E" w:rsidP="00D30C1E">
      <w:pPr>
        <w:ind w:left="708"/>
        <w:rPr>
          <w:rFonts w:ascii="Verdana" w:hAnsi="Verdana"/>
          <w:sz w:val="18"/>
          <w:szCs w:val="18"/>
          <w:lang w:val="en-GB"/>
        </w:rPr>
      </w:pPr>
    </w:p>
    <w:p w14:paraId="3BE65861" w14:textId="77DD7A98" w:rsidR="000E558C" w:rsidRDefault="00D30C1E" w:rsidP="000E558C">
      <w:pPr>
        <w:ind w:left="708"/>
        <w:rPr>
          <w:rFonts w:ascii="Verdana" w:hAnsi="Verdana"/>
          <w:sz w:val="18"/>
          <w:szCs w:val="18"/>
          <w:lang w:val="en-GB"/>
        </w:rPr>
      </w:pPr>
      <w:r>
        <w:rPr>
          <w:rFonts w:ascii="Verdana" w:hAnsi="Verdana"/>
          <w:sz w:val="18"/>
          <w:szCs w:val="18"/>
          <w:lang w:val="en-GB"/>
        </w:rPr>
        <w:t xml:space="preserve">Each higher education institution can submit one application form, in which all sub-applications from different projects/faculties have to be included. The application form can be found here: </w:t>
      </w:r>
      <w:hyperlink r:id="rId5" w:history="1">
        <w:r w:rsidRPr="00146C83">
          <w:rPr>
            <w:rStyle w:val="Hyperlink"/>
            <w:rFonts w:ascii="Verdana" w:hAnsi="Verdana"/>
            <w:sz w:val="18"/>
            <w:szCs w:val="18"/>
            <w:lang w:val="en-GB"/>
          </w:rPr>
          <w:t>https://webgate.ec.europa.eu/app-forms/af-ui-opportunities/#/erasmus-plus</w:t>
        </w:r>
      </w:hyperlink>
      <w:r>
        <w:rPr>
          <w:rFonts w:ascii="Verdana" w:hAnsi="Verdana"/>
          <w:sz w:val="18"/>
          <w:szCs w:val="18"/>
          <w:lang w:val="en-GB"/>
        </w:rPr>
        <w:t xml:space="preserve"> </w:t>
      </w:r>
    </w:p>
    <w:p w14:paraId="06B51946" w14:textId="77777777" w:rsidR="000E558C" w:rsidRDefault="000E558C" w:rsidP="000E558C">
      <w:pPr>
        <w:ind w:left="708"/>
        <w:rPr>
          <w:rFonts w:ascii="Verdana" w:hAnsi="Verdana"/>
          <w:sz w:val="18"/>
          <w:szCs w:val="18"/>
          <w:lang w:val="en-GB"/>
        </w:rPr>
      </w:pPr>
    </w:p>
    <w:p w14:paraId="441A7958" w14:textId="77777777" w:rsidR="000E558C" w:rsidRDefault="000E558C" w:rsidP="000E558C">
      <w:pPr>
        <w:ind w:left="708"/>
        <w:rPr>
          <w:rFonts w:ascii="Verdana" w:hAnsi="Verdana"/>
          <w:sz w:val="18"/>
          <w:szCs w:val="18"/>
          <w:lang w:val="en-GB"/>
        </w:rPr>
      </w:pPr>
    </w:p>
    <w:p w14:paraId="45F0E545" w14:textId="3AEC1F8C" w:rsidR="00E21C45" w:rsidRPr="000E558C" w:rsidRDefault="00D30C1E" w:rsidP="000E558C">
      <w:pPr>
        <w:pStyle w:val="Lijstalinea"/>
        <w:numPr>
          <w:ilvl w:val="0"/>
          <w:numId w:val="3"/>
        </w:numPr>
        <w:rPr>
          <w:rFonts w:ascii="Verdana" w:hAnsi="Verdana"/>
          <w:sz w:val="18"/>
          <w:szCs w:val="18"/>
          <w:lang w:val="en-GB"/>
        </w:rPr>
      </w:pPr>
      <w:r w:rsidRPr="000E558C">
        <w:rPr>
          <w:rFonts w:ascii="Verdana" w:hAnsi="Verdana"/>
          <w:sz w:val="18"/>
          <w:szCs w:val="18"/>
          <w:lang w:val="en-GB"/>
        </w:rPr>
        <w:t xml:space="preserve">Can you explain about </w:t>
      </w:r>
      <w:r w:rsidR="000E558C">
        <w:rPr>
          <w:rFonts w:ascii="Verdana" w:hAnsi="Verdana"/>
          <w:sz w:val="18"/>
          <w:szCs w:val="18"/>
          <w:lang w:val="en-GB"/>
        </w:rPr>
        <w:t xml:space="preserve">the </w:t>
      </w:r>
      <w:r w:rsidR="00E21C45" w:rsidRPr="000E558C">
        <w:rPr>
          <w:rFonts w:ascii="Verdana" w:hAnsi="Verdana"/>
          <w:sz w:val="18"/>
          <w:szCs w:val="18"/>
          <w:lang w:val="en-GB"/>
        </w:rPr>
        <w:t>restrictions for outgoing short, 1st and 2nd cycle students in almost all regions. Does that mean that there will be hardly any opportunities for outgoing BA students, for example? Or what restrictions were you talking about?</w:t>
      </w:r>
    </w:p>
    <w:p w14:paraId="38FEBBE2" w14:textId="77777777" w:rsidR="00D30C1E" w:rsidRDefault="00D30C1E" w:rsidP="00E21C45">
      <w:pPr>
        <w:rPr>
          <w:rFonts w:ascii="Verdana" w:hAnsi="Verdana"/>
          <w:sz w:val="18"/>
          <w:szCs w:val="18"/>
          <w:lang w:val="en-GB"/>
        </w:rPr>
      </w:pPr>
    </w:p>
    <w:p w14:paraId="45986414" w14:textId="10C4AED7" w:rsidR="00E21C45" w:rsidRDefault="00E21C45" w:rsidP="00D30C1E">
      <w:pPr>
        <w:ind w:left="708"/>
        <w:rPr>
          <w:rFonts w:ascii="Verdana" w:hAnsi="Verdana"/>
          <w:sz w:val="18"/>
          <w:szCs w:val="18"/>
          <w:lang w:val="en-GB"/>
        </w:rPr>
      </w:pPr>
      <w:r>
        <w:rPr>
          <w:rFonts w:ascii="Verdana" w:hAnsi="Verdana"/>
          <w:sz w:val="18"/>
          <w:szCs w:val="18"/>
          <w:lang w:val="en-GB"/>
        </w:rPr>
        <w:t>Yes, this is correct. Outgoing mobility for short, first (BA) and second (MA) study cycle will be restricted to most regions of the world. These flows will be restricted only towards countries that are on OECD’s ODA list (countries that receive Official development assistance). The W</w:t>
      </w:r>
      <w:r w:rsidR="00D30C1E">
        <w:rPr>
          <w:rFonts w:ascii="Verdana" w:hAnsi="Verdana"/>
          <w:sz w:val="18"/>
          <w:szCs w:val="18"/>
          <w:lang w:val="en-GB"/>
        </w:rPr>
        <w:t xml:space="preserve">estern </w:t>
      </w:r>
      <w:r>
        <w:rPr>
          <w:rFonts w:ascii="Verdana" w:hAnsi="Verdana"/>
          <w:sz w:val="18"/>
          <w:szCs w:val="18"/>
          <w:lang w:val="en-GB"/>
        </w:rPr>
        <w:t>B</w:t>
      </w:r>
      <w:r w:rsidR="00D30C1E">
        <w:rPr>
          <w:rFonts w:ascii="Verdana" w:hAnsi="Verdana"/>
          <w:sz w:val="18"/>
          <w:szCs w:val="18"/>
          <w:lang w:val="en-GB"/>
        </w:rPr>
        <w:t>alkan</w:t>
      </w:r>
      <w:r>
        <w:rPr>
          <w:rFonts w:ascii="Verdana" w:hAnsi="Verdana"/>
          <w:sz w:val="18"/>
          <w:szCs w:val="18"/>
          <w:lang w:val="en-GB"/>
        </w:rPr>
        <w:t xml:space="preserve"> countries will be exempted from this rule as they appear on this list.</w:t>
      </w:r>
    </w:p>
    <w:p w14:paraId="02442F35" w14:textId="4F96E221" w:rsidR="00E21C45" w:rsidRDefault="00D30C1E" w:rsidP="00D30C1E">
      <w:pPr>
        <w:ind w:left="708"/>
        <w:rPr>
          <w:rFonts w:ascii="Verdana" w:hAnsi="Verdana"/>
          <w:sz w:val="18"/>
          <w:szCs w:val="18"/>
          <w:lang w:val="en-GB"/>
        </w:rPr>
      </w:pPr>
      <w:hyperlink r:id="rId6" w:history="1">
        <w:r w:rsidRPr="00146C83">
          <w:rPr>
            <w:rStyle w:val="Hyperlink"/>
            <w:rFonts w:ascii="Verdana" w:hAnsi="Verdana"/>
            <w:sz w:val="18"/>
            <w:szCs w:val="18"/>
            <w:lang w:val="en-GB"/>
          </w:rPr>
          <w:t>https://www.oecd.org/dac/financing-sustainable-development/development-finance-standards/daclist.htm</w:t>
        </w:r>
      </w:hyperlink>
    </w:p>
    <w:p w14:paraId="0CD3B2DD" w14:textId="43BE5CE4" w:rsidR="00E21C45" w:rsidRDefault="000E558C" w:rsidP="00D30C1E">
      <w:pPr>
        <w:ind w:left="708"/>
        <w:rPr>
          <w:rFonts w:ascii="Verdana" w:hAnsi="Verdana"/>
          <w:sz w:val="18"/>
          <w:szCs w:val="18"/>
          <w:lang w:val="en-GB"/>
        </w:rPr>
      </w:pPr>
      <w:r>
        <w:rPr>
          <w:rFonts w:ascii="Verdana" w:hAnsi="Verdana"/>
          <w:sz w:val="18"/>
          <w:szCs w:val="18"/>
          <w:lang w:val="en-GB"/>
        </w:rPr>
        <w:t>S</w:t>
      </w:r>
      <w:r w:rsidR="00E21C45">
        <w:rPr>
          <w:rFonts w:ascii="Verdana" w:hAnsi="Verdana"/>
          <w:sz w:val="18"/>
          <w:szCs w:val="18"/>
          <w:lang w:val="en-GB"/>
        </w:rPr>
        <w:t xml:space="preserve">tudents can still go to </w:t>
      </w:r>
      <w:r w:rsidR="00D30C1E">
        <w:rPr>
          <w:rFonts w:ascii="Verdana" w:hAnsi="Verdana"/>
          <w:sz w:val="18"/>
          <w:szCs w:val="18"/>
          <w:lang w:val="en-GB"/>
        </w:rPr>
        <w:t xml:space="preserve">countries such as the </w:t>
      </w:r>
      <w:r w:rsidR="00E21C45">
        <w:rPr>
          <w:rFonts w:ascii="Verdana" w:hAnsi="Verdana"/>
          <w:sz w:val="18"/>
          <w:szCs w:val="18"/>
          <w:lang w:val="en-GB"/>
        </w:rPr>
        <w:t>USA, Canada, industrialised Asia (Japan, Taiwan</w:t>
      </w:r>
      <w:r>
        <w:rPr>
          <w:rFonts w:ascii="Verdana" w:hAnsi="Verdana"/>
          <w:sz w:val="18"/>
          <w:szCs w:val="18"/>
          <w:lang w:val="en-GB"/>
        </w:rPr>
        <w:t>, Australia</w:t>
      </w:r>
      <w:r w:rsidR="00E21C45">
        <w:rPr>
          <w:rFonts w:ascii="Verdana" w:hAnsi="Verdana"/>
          <w:sz w:val="18"/>
          <w:szCs w:val="18"/>
          <w:lang w:val="en-GB"/>
        </w:rPr>
        <w:t>)</w:t>
      </w:r>
      <w:r w:rsidR="00D30C1E">
        <w:rPr>
          <w:rFonts w:ascii="Verdana" w:hAnsi="Verdana"/>
          <w:sz w:val="18"/>
          <w:szCs w:val="18"/>
          <w:lang w:val="en-GB"/>
        </w:rPr>
        <w:t xml:space="preserve">, </w:t>
      </w:r>
      <w:r>
        <w:rPr>
          <w:rFonts w:ascii="Verdana" w:hAnsi="Verdana"/>
          <w:sz w:val="18"/>
          <w:szCs w:val="18"/>
          <w:lang w:val="en-GB"/>
        </w:rPr>
        <w:t xml:space="preserve">and </w:t>
      </w:r>
      <w:r w:rsidR="00D30C1E">
        <w:rPr>
          <w:rFonts w:ascii="Verdana" w:hAnsi="Verdana"/>
          <w:sz w:val="18"/>
          <w:szCs w:val="18"/>
          <w:lang w:val="en-GB"/>
        </w:rPr>
        <w:t>Israel.</w:t>
      </w:r>
    </w:p>
    <w:p w14:paraId="725911CC" w14:textId="534F2C23" w:rsidR="00E21C45" w:rsidRDefault="00D30C1E" w:rsidP="00537794">
      <w:pPr>
        <w:ind w:left="708"/>
        <w:rPr>
          <w:rFonts w:ascii="Verdana" w:hAnsi="Verdana"/>
          <w:sz w:val="18"/>
          <w:szCs w:val="18"/>
          <w:lang w:val="en-GB"/>
        </w:rPr>
      </w:pPr>
      <w:r>
        <w:rPr>
          <w:rFonts w:ascii="Verdana" w:hAnsi="Verdana"/>
          <w:sz w:val="18"/>
          <w:szCs w:val="18"/>
          <w:lang w:val="en-GB"/>
        </w:rPr>
        <w:t xml:space="preserve">Compared to the old KA107 action, the changes are mostly in the </w:t>
      </w:r>
      <w:r w:rsidR="00537794">
        <w:rPr>
          <w:rFonts w:ascii="Verdana" w:hAnsi="Verdana"/>
          <w:sz w:val="18"/>
          <w:szCs w:val="18"/>
          <w:lang w:val="en-GB"/>
        </w:rPr>
        <w:t xml:space="preserve">Neighbourhood East and </w:t>
      </w:r>
      <w:r>
        <w:rPr>
          <w:rFonts w:ascii="Verdana" w:hAnsi="Verdana"/>
          <w:sz w:val="18"/>
          <w:szCs w:val="18"/>
          <w:lang w:val="en-GB"/>
        </w:rPr>
        <w:t xml:space="preserve">South-Mediterranean </w:t>
      </w:r>
      <w:r w:rsidR="00537794">
        <w:rPr>
          <w:rFonts w:ascii="Verdana" w:hAnsi="Verdana"/>
          <w:sz w:val="18"/>
          <w:szCs w:val="18"/>
          <w:lang w:val="en-GB"/>
        </w:rPr>
        <w:t>(region 2 and 3)</w:t>
      </w:r>
      <w:r w:rsidR="000E558C">
        <w:rPr>
          <w:rFonts w:ascii="Verdana" w:hAnsi="Verdana"/>
          <w:sz w:val="18"/>
          <w:szCs w:val="18"/>
          <w:lang w:val="en-GB"/>
        </w:rPr>
        <w:t>.</w:t>
      </w:r>
    </w:p>
    <w:p w14:paraId="5E0CA965" w14:textId="77777777" w:rsidR="00E21C45" w:rsidRDefault="00E21C45" w:rsidP="00E21C45">
      <w:pPr>
        <w:rPr>
          <w:rFonts w:ascii="Verdana" w:hAnsi="Verdana"/>
          <w:sz w:val="18"/>
          <w:szCs w:val="18"/>
          <w:lang w:val="en-GB"/>
        </w:rPr>
      </w:pPr>
    </w:p>
    <w:p w14:paraId="4DF1632E" w14:textId="77777777" w:rsidR="00162E11" w:rsidRPr="00E21C45" w:rsidRDefault="008C2185">
      <w:pPr>
        <w:rPr>
          <w:lang w:val="en-GB"/>
        </w:rPr>
      </w:pPr>
    </w:p>
    <w:sectPr w:rsidR="00162E11" w:rsidRPr="00E21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03E"/>
    <w:multiLevelType w:val="hybridMultilevel"/>
    <w:tmpl w:val="B41AB87A"/>
    <w:lvl w:ilvl="0" w:tplc="B0D0BE2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9347BA"/>
    <w:multiLevelType w:val="hybridMultilevel"/>
    <w:tmpl w:val="447C9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1B3A98"/>
    <w:multiLevelType w:val="hybridMultilevel"/>
    <w:tmpl w:val="BCC67B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45"/>
    <w:rsid w:val="0007199E"/>
    <w:rsid w:val="000E558C"/>
    <w:rsid w:val="00537794"/>
    <w:rsid w:val="008C2185"/>
    <w:rsid w:val="00A23209"/>
    <w:rsid w:val="00D30C1E"/>
    <w:rsid w:val="00D41121"/>
    <w:rsid w:val="00E21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57A6"/>
  <w15:chartTrackingRefBased/>
  <w15:docId w15:val="{20DCC254-9A40-4250-AD3D-C7341C43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C45"/>
    <w:pPr>
      <w:spacing w:after="0" w:line="240" w:lineRule="auto"/>
    </w:pPr>
    <w:rPr>
      <w:rFonts w:ascii="Calibri" w:hAnsi="Calibri" w:cs="Calibri"/>
    </w:rPr>
  </w:style>
  <w:style w:type="paragraph" w:styleId="Kop1">
    <w:name w:val="heading 1"/>
    <w:basedOn w:val="Standaard"/>
    <w:next w:val="Standaard"/>
    <w:link w:val="Kop1Char"/>
    <w:uiPriority w:val="9"/>
    <w:qFormat/>
    <w:rsid w:val="005377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1C45"/>
    <w:rPr>
      <w:color w:val="0563C1"/>
      <w:u w:val="single"/>
    </w:rPr>
  </w:style>
  <w:style w:type="paragraph" w:styleId="Lijstalinea">
    <w:name w:val="List Paragraph"/>
    <w:basedOn w:val="Standaard"/>
    <w:uiPriority w:val="34"/>
    <w:qFormat/>
    <w:rsid w:val="00E21C45"/>
    <w:pPr>
      <w:ind w:left="720"/>
    </w:pPr>
  </w:style>
  <w:style w:type="character" w:styleId="Onopgelostemelding">
    <w:name w:val="Unresolved Mention"/>
    <w:basedOn w:val="Standaardalinea-lettertype"/>
    <w:uiPriority w:val="99"/>
    <w:semiHidden/>
    <w:unhideWhenUsed/>
    <w:rsid w:val="00D30C1E"/>
    <w:rPr>
      <w:color w:val="605E5C"/>
      <w:shd w:val="clear" w:color="auto" w:fill="E1DFDD"/>
    </w:rPr>
  </w:style>
  <w:style w:type="character" w:customStyle="1" w:styleId="Kop1Char">
    <w:name w:val="Kop 1 Char"/>
    <w:basedOn w:val="Standaardalinea-lettertype"/>
    <w:link w:val="Kop1"/>
    <w:uiPriority w:val="9"/>
    <w:rsid w:val="005377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cd.org/dac/financing-sustainable-development/development-finance-standards/daclist.htm" TargetMode="External"/><Relationship Id="rId11" Type="http://schemas.openxmlformats.org/officeDocument/2006/relationships/customXml" Target="../customXml/item3.xml"/><Relationship Id="rId5" Type="http://schemas.openxmlformats.org/officeDocument/2006/relationships/hyperlink" Target="https://webgate.ec.europa.eu/app-forms/af-ui-opportunities/#/erasmus-plu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349" ma:contentTypeDescription="Een nieuw document maken." ma:contentTypeScope="" ma:versionID="1a6b9bc0bb966848e9dccb49ee014e5b">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ae14868-6f31-44f0-b410-52f19e37ad77" ContentTypeId="0x010100B14F659BCD6B4D44A071072585BC7B40"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DEPDOC-959341906-219817</_dlc_DocId>
    <_dlc_DocIdUrl xmlns="27a646ec-b11d-44f2-b007-16ce52b3018b">
      <Url>https://nuffic.sharepoint.com/sites/departments/na/_layouts/15/DocIdRedir.aspx?ID=DEPDOC-959341906-219817</Url>
      <Description>DEPDOC-959341906-219817</Description>
    </_dlc_DocIdUrl>
  </documentManagement>
</p:properties>
</file>

<file path=customXml/itemProps1.xml><?xml version="1.0" encoding="utf-8"?>
<ds:datastoreItem xmlns:ds="http://schemas.openxmlformats.org/officeDocument/2006/customXml" ds:itemID="{06F5E966-F185-4B8B-8F7A-2D0726231579}"/>
</file>

<file path=customXml/itemProps2.xml><?xml version="1.0" encoding="utf-8"?>
<ds:datastoreItem xmlns:ds="http://schemas.openxmlformats.org/officeDocument/2006/customXml" ds:itemID="{868C2FD5-FB47-4E0B-B8B7-AFAFFA82B425}"/>
</file>

<file path=customXml/itemProps3.xml><?xml version="1.0" encoding="utf-8"?>
<ds:datastoreItem xmlns:ds="http://schemas.openxmlformats.org/officeDocument/2006/customXml" ds:itemID="{055A2AAA-A1E1-40E6-BC1D-5A7781919EB4}"/>
</file>

<file path=customXml/itemProps4.xml><?xml version="1.0" encoding="utf-8"?>
<ds:datastoreItem xmlns:ds="http://schemas.openxmlformats.org/officeDocument/2006/customXml" ds:itemID="{9FADACAD-4DD4-4736-8F03-91A632F3E702}"/>
</file>

<file path=customXml/itemProps5.xml><?xml version="1.0" encoding="utf-8"?>
<ds:datastoreItem xmlns:ds="http://schemas.openxmlformats.org/officeDocument/2006/customXml" ds:itemID="{594CEBC1-10A9-4A24-ADBB-2BB2E07FF1FA}"/>
</file>

<file path=docProps/app.xml><?xml version="1.0" encoding="utf-8"?>
<Properties xmlns="http://schemas.openxmlformats.org/officeDocument/2006/extended-properties" xmlns:vt="http://schemas.openxmlformats.org/officeDocument/2006/docPropsVTypes">
  <Template>Normal.dotm</Template>
  <TotalTime>30</TotalTime>
  <Pages>1</Pages>
  <Words>380</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van Grunsven</dc:creator>
  <cp:keywords/>
  <dc:description/>
  <cp:lastModifiedBy>Marijn van Grunsven</cp:lastModifiedBy>
  <cp:revision>2</cp:revision>
  <dcterms:created xsi:type="dcterms:W3CDTF">2021-11-26T09:56:00Z</dcterms:created>
  <dcterms:modified xsi:type="dcterms:W3CDTF">2021-11-26T10:26:00Z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_dlc_DocIdItemGuid">
    <vt:lpwstr>2967479a-b3f0-46c9-b39f-60a6a917d9e5</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