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1E6B" w14:textId="63374108" w:rsidR="00544C98" w:rsidRDefault="001721CC" w:rsidP="00544C98">
      <w:pPr>
        <w:pStyle w:val="Kop1"/>
        <w:rPr>
          <w:noProof/>
        </w:rPr>
      </w:pPr>
      <w:r w:rsidRPr="00D06D68">
        <w:fldChar w:fldCharType="begin"/>
      </w:r>
      <w:r w:rsidRPr="00D06D68">
        <w:instrText xml:space="preserve"> TOC \o "1-3" \h \z \u </w:instrText>
      </w:r>
      <w:r w:rsidRPr="00D06D68">
        <w:fldChar w:fldCharType="separate"/>
      </w:r>
      <w:bookmarkStart w:id="0" w:name="_Toc530496910"/>
      <w:bookmarkStart w:id="1" w:name="_Toc530496911"/>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0"/>
    </w:p>
    <w:p w14:paraId="02AEC21C" w14:textId="44124A81" w:rsidR="00544C98" w:rsidRDefault="00544C98" w:rsidP="00544C98">
      <w:pPr>
        <w:pStyle w:val="Kop1"/>
        <w:rPr>
          <w:noProof/>
        </w:rPr>
      </w:pPr>
      <w:r>
        <w:rPr>
          <w:noProof/>
        </w:rPr>
        <w:t>Table of content</w:t>
      </w:r>
      <w:bookmarkEnd w:id="1"/>
    </w:p>
    <w:p w14:paraId="2A02843B" w14:textId="146D3A29" w:rsidR="00F10393" w:rsidRDefault="00F713D8" w:rsidP="00544C98">
      <w:pPr>
        <w:pStyle w:val="Inhopg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F713D8">
      <w:pPr>
        <w:pStyle w:val="Inhopg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F713D8">
      <w:pPr>
        <w:pStyle w:val="Inhopg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F713D8">
      <w:pPr>
        <w:pStyle w:val="Inhopg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F713D8">
      <w:pPr>
        <w:pStyle w:val="Inhopg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F713D8">
      <w:pPr>
        <w:pStyle w:val="Inhopg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F713D8">
      <w:pPr>
        <w:pStyle w:val="Inhopg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F713D8">
      <w:pPr>
        <w:pStyle w:val="Inhopg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F713D8">
      <w:pPr>
        <w:pStyle w:val="Inhopg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F713D8">
      <w:pPr>
        <w:pStyle w:val="Inhopg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F713D8">
      <w:pPr>
        <w:pStyle w:val="Inhopg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F713D8">
      <w:pPr>
        <w:pStyle w:val="Inhopg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F713D8">
      <w:pPr>
        <w:pStyle w:val="Inhopg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F713D8">
      <w:pPr>
        <w:pStyle w:val="Inhopg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F713D8">
      <w:pPr>
        <w:pStyle w:val="Inhopg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F713D8">
      <w:pPr>
        <w:pStyle w:val="Inhopg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F713D8">
      <w:pPr>
        <w:pStyle w:val="Inhopg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F713D8">
      <w:pPr>
        <w:pStyle w:val="Inhopg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F713D8">
      <w:pPr>
        <w:pStyle w:val="Inhopg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F713D8">
      <w:pPr>
        <w:pStyle w:val="Inhopg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F713D8">
      <w:pPr>
        <w:pStyle w:val="Inhopg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F713D8">
      <w:pPr>
        <w:pStyle w:val="Inhopg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F713D8">
      <w:pPr>
        <w:pStyle w:val="Inhopg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F713D8">
      <w:pPr>
        <w:pStyle w:val="Inhopg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F713D8">
      <w:pPr>
        <w:pStyle w:val="Inhopg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F713D8">
      <w:pPr>
        <w:pStyle w:val="Inhopg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F713D8">
      <w:pPr>
        <w:pStyle w:val="Inhopg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F713D8">
      <w:pPr>
        <w:pStyle w:val="Inhopg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F713D8">
      <w:pPr>
        <w:pStyle w:val="Inhopg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F713D8">
      <w:pPr>
        <w:pStyle w:val="Inhopg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F713D8">
      <w:pPr>
        <w:pStyle w:val="Inhopg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F713D8">
      <w:pPr>
        <w:pStyle w:val="Inhopg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F713D8">
      <w:pPr>
        <w:pStyle w:val="Inhopg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F713D8">
      <w:pPr>
        <w:pStyle w:val="Inhopg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F713D8">
      <w:pPr>
        <w:pStyle w:val="Inhopg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F713D8">
      <w:pPr>
        <w:pStyle w:val="Inhopg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F713D8">
      <w:pPr>
        <w:pStyle w:val="Inhopg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F713D8">
      <w:pPr>
        <w:pStyle w:val="Inhopg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F713D8">
      <w:pPr>
        <w:pStyle w:val="Inhopg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F713D8">
      <w:pPr>
        <w:pStyle w:val="Inhopg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F713D8">
      <w:pPr>
        <w:pStyle w:val="Inhopg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F713D8">
      <w:pPr>
        <w:pStyle w:val="Inhopg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F713D8" w:rsidP="00D475F5">
      <w:pPr>
        <w:pStyle w:val="Inhopg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F713D8">
      <w:pPr>
        <w:pStyle w:val="Inhopg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F713D8">
      <w:pPr>
        <w:pStyle w:val="Inhopg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F713D8">
      <w:pPr>
        <w:pStyle w:val="Inhopg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F713D8">
      <w:pPr>
        <w:pStyle w:val="Inhopg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F713D8">
      <w:pPr>
        <w:pStyle w:val="Inhopg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F713D8">
      <w:pPr>
        <w:pStyle w:val="Inhopg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F713D8">
      <w:pPr>
        <w:pStyle w:val="Inhopg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F713D8">
      <w:pPr>
        <w:pStyle w:val="Inhopg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F713D8">
      <w:pPr>
        <w:pStyle w:val="Inhopg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Kop2"/>
        <w:spacing w:before="100" w:beforeAutospacing="1" w:after="100" w:afterAutospacing="1"/>
        <w:rPr>
          <w:rFonts w:ascii="Times New Roman" w:hAnsi="Times New Roman"/>
        </w:rPr>
      </w:pPr>
      <w:r>
        <w:br w:type="column"/>
      </w:r>
      <w:bookmarkStart w:id="2" w:name="_Toc441250814"/>
      <w:bookmarkStart w:id="3" w:name="_Toc441509662"/>
      <w:bookmarkStart w:id="4" w:name="_Toc1637159"/>
      <w:bookmarkStart w:id="5"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Kop1"/>
        <w:spacing w:before="100" w:beforeAutospacing="1" w:after="100" w:afterAutospacing="1"/>
        <w:jc w:val="both"/>
        <w:rPr>
          <w:rFonts w:ascii="Times New Roman" w:hAnsi="Times New Roman"/>
        </w:rPr>
      </w:pPr>
      <w:bookmarkStart w:id="6" w:name="_Toc1637160"/>
      <w:bookmarkEnd w:id="2"/>
      <w:bookmarkEnd w:id="3"/>
      <w:bookmarkEnd w:id="4"/>
      <w:r w:rsidRPr="00D06D68">
        <w:rPr>
          <w:rFonts w:ascii="Times New Roman" w:hAnsi="Times New Roman"/>
        </w:rPr>
        <w:t>PART A — LEGAL AND ADMINISTRATIVE PROVISIONS</w:t>
      </w:r>
      <w:bookmarkEnd w:id="5"/>
      <w:bookmarkEnd w:id="6"/>
    </w:p>
    <w:p w14:paraId="3BBB8B5C" w14:textId="4366AAB4" w:rsidR="00D30E81" w:rsidRPr="00FE5E74" w:rsidRDefault="0063257E" w:rsidP="001C2768">
      <w:pPr>
        <w:pStyle w:val="Kop2"/>
      </w:pPr>
      <w:bookmarkStart w:id="7" w:name="_Toc441250817"/>
      <w:bookmarkStart w:id="8" w:name="_Toc1637161"/>
      <w:r w:rsidRPr="00FE5E74">
        <w:t>ARTICLE II.1 - DEFINITIONS</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jstalinea"/>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Kop2"/>
        <w:spacing w:before="100" w:beforeAutospacing="1" w:after="100" w:afterAutospacing="1"/>
        <w:rPr>
          <w:rFonts w:ascii="Times New Roman" w:hAnsi="Times New Roman"/>
        </w:rPr>
      </w:pPr>
      <w:bookmarkStart w:id="9" w:name="_Toc441250818"/>
      <w:bookmarkStart w:id="10"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9"/>
      <w:bookmarkEnd w:id="10"/>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Kop2"/>
        <w:spacing w:before="100" w:beforeAutospacing="1" w:after="100" w:afterAutospacing="1"/>
        <w:rPr>
          <w:rFonts w:ascii="Times New Roman" w:hAnsi="Times New Roman"/>
        </w:rPr>
      </w:pPr>
      <w:bookmarkStart w:id="11" w:name="_Toc441250822"/>
      <w:bookmarkStart w:id="12"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1"/>
      <w:bookmarkEnd w:id="12"/>
    </w:p>
    <w:p w14:paraId="3BBB8B7E" w14:textId="77777777" w:rsidR="00D30E81" w:rsidRPr="00D06D68" w:rsidRDefault="005A7083" w:rsidP="00797757">
      <w:pPr>
        <w:pStyle w:val="Kop3"/>
        <w:spacing w:before="100" w:beforeAutospacing="1" w:after="100" w:afterAutospacing="1"/>
      </w:pPr>
      <w:bookmarkStart w:id="13" w:name="_Toc441250823"/>
      <w:bookmarkStart w:id="14" w:name="_Toc1637164"/>
      <w:r>
        <w:t xml:space="preserve">II.3.1 </w:t>
      </w:r>
      <w:r w:rsidR="00D30E81" w:rsidRPr="00D06D68">
        <w:t>Form and means of communication</w:t>
      </w:r>
      <w:bookmarkEnd w:id="13"/>
      <w:bookmarkEnd w:id="14"/>
    </w:p>
    <w:p w14:paraId="3BBB8B7F" w14:textId="08FEC961"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Kop3"/>
        <w:spacing w:before="100" w:beforeAutospacing="1" w:after="100" w:afterAutospacing="1"/>
      </w:pPr>
      <w:bookmarkStart w:id="15" w:name="_Toc441250824"/>
      <w:bookmarkStart w:id="16" w:name="_Toc1637165"/>
      <w:r>
        <w:t xml:space="preserve">II.3.2 </w:t>
      </w:r>
      <w:r w:rsidR="00D30E81" w:rsidRPr="00D06D68">
        <w:t>Date of communications</w:t>
      </w:r>
      <w:bookmarkEnd w:id="15"/>
      <w:bookmarkEnd w:id="16"/>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Kop2"/>
        <w:spacing w:before="100" w:beforeAutospacing="1" w:after="100" w:afterAutospacing="1"/>
      </w:pPr>
      <w:bookmarkStart w:id="17" w:name="_Toc441250827"/>
      <w:bookmarkStart w:id="18" w:name="_Toc1637166"/>
      <w:r>
        <w:t>ARTICLE II.4 – LIABILITY FOR DAMAGES</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Kop2"/>
        <w:spacing w:before="100" w:beforeAutospacing="1" w:after="100" w:afterAutospacing="1"/>
      </w:pPr>
      <w:bookmarkStart w:id="19" w:name="_Toc441250828"/>
      <w:bookmarkStart w:id="20" w:name="_Toc1637167"/>
      <w:r>
        <w:t>ARTICLE II.5 – CONFLICT OF INTEREST</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Kop2"/>
        <w:spacing w:before="100" w:beforeAutospacing="1" w:after="100" w:afterAutospacing="1"/>
      </w:pPr>
      <w:bookmarkStart w:id="21" w:name="_Toc441250829"/>
      <w:bookmarkStart w:id="22" w:name="_Toc1637168"/>
      <w:r>
        <w:t>ARTICLE II.6 - CONFIDENTIALITY</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Kop2"/>
        <w:spacing w:before="100" w:beforeAutospacing="1" w:after="100" w:afterAutospacing="1"/>
      </w:pPr>
      <w:bookmarkStart w:id="23" w:name="_Toc441250830"/>
      <w:bookmarkStart w:id="24" w:name="_Toc1637169"/>
      <w:r>
        <w:t>ARTICLE II.7 – PROCESSING OF PERSONAL DATA</w:t>
      </w:r>
      <w:bookmarkEnd w:id="23"/>
      <w:bookmarkEnd w:id="24"/>
    </w:p>
    <w:p w14:paraId="3BBB8BAB" w14:textId="77777777" w:rsidR="00D30E81" w:rsidRPr="00D06D68" w:rsidRDefault="00D30E81" w:rsidP="00797757">
      <w:pPr>
        <w:pStyle w:val="Kop3"/>
        <w:spacing w:before="100" w:beforeAutospacing="1" w:after="100" w:afterAutospacing="1"/>
      </w:pPr>
      <w:bookmarkStart w:id="25" w:name="_Toc441250831"/>
      <w:bookmarkStart w:id="26" w:name="_Toc1637170"/>
      <w:r w:rsidRPr="00D06D68">
        <w:t>II.7.1</w:t>
      </w:r>
      <w:r w:rsidRPr="00D06D68">
        <w:tab/>
        <w:t>Processing of personal data by the Commission</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Voetnootmarkering"/>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Kop3"/>
        <w:spacing w:before="100" w:beforeAutospacing="1" w:after="100" w:afterAutospacing="1"/>
      </w:pPr>
      <w:bookmarkStart w:id="27" w:name="_Toc441250832"/>
      <w:bookmarkStart w:id="28" w:name="_Toc1637171"/>
      <w:r w:rsidRPr="00D06D68">
        <w:t>II.7.2</w:t>
      </w:r>
      <w:r w:rsidRPr="00D06D68">
        <w:tab/>
        <w:t xml:space="preserve">Processing of personal data by the </w:t>
      </w:r>
      <w:bookmarkEnd w:id="27"/>
      <w:r w:rsidR="00467201" w:rsidRPr="00D06D68">
        <w:t>beneficiary</w:t>
      </w:r>
      <w:bookmarkEnd w:id="28"/>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jstalinea"/>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jstalinea"/>
        <w:spacing w:after="0"/>
        <w:rPr>
          <w:lang w:val="en-GB"/>
        </w:rPr>
      </w:pPr>
    </w:p>
    <w:p w14:paraId="33B63250" w14:textId="758F7AB4" w:rsidR="002C5FCC" w:rsidRPr="001C2768" w:rsidRDefault="002C5FCC" w:rsidP="0013424F">
      <w:pPr>
        <w:pStyle w:val="Lijstalinea"/>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Kop2"/>
        <w:spacing w:before="100" w:beforeAutospacing="1" w:after="100" w:afterAutospacing="1"/>
      </w:pPr>
      <w:bookmarkStart w:id="29" w:name="_Toc441250833"/>
      <w:bookmarkStart w:id="30" w:name="_Toc1637172"/>
      <w:r>
        <w:t>ARTICLE II.8 – VISIBILITY OF UNION FUNDING</w:t>
      </w:r>
      <w:bookmarkEnd w:id="29"/>
      <w:bookmarkEnd w:id="30"/>
    </w:p>
    <w:p w14:paraId="3BBB8BBE" w14:textId="77777777" w:rsidR="00D30E81" w:rsidRPr="00D06D68" w:rsidRDefault="00D30E81" w:rsidP="00797757">
      <w:pPr>
        <w:pStyle w:val="Kop3"/>
        <w:spacing w:before="100" w:beforeAutospacing="1" w:after="100" w:afterAutospacing="1"/>
      </w:pPr>
      <w:bookmarkStart w:id="31" w:name="_Toc441250834"/>
      <w:bookmarkStart w:id="32" w:name="_Toc1637173"/>
      <w:r w:rsidRPr="00D06D68">
        <w:t>II.8.1</w:t>
      </w:r>
      <w:r w:rsidRPr="00D06D68">
        <w:tab/>
        <w:t>Information on Union funding and use of the European Union emblem</w:t>
      </w:r>
      <w:bookmarkEnd w:id="31"/>
      <w:bookmarkEnd w:id="32"/>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Kop3"/>
        <w:spacing w:before="100" w:beforeAutospacing="1" w:after="100" w:afterAutospacing="1"/>
      </w:pPr>
      <w:bookmarkStart w:id="33" w:name="_Toc441250835"/>
      <w:bookmarkStart w:id="34" w:name="_Toc1637174"/>
      <w:r w:rsidRPr="00D06D68">
        <w:t>II.8.2</w:t>
      </w:r>
      <w:r w:rsidRPr="00D06D68">
        <w:tab/>
        <w:t>Disclaimers excluding Commission responsibility</w:t>
      </w:r>
      <w:bookmarkEnd w:id="33"/>
      <w:bookmarkEnd w:id="34"/>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Kop2"/>
        <w:spacing w:before="100" w:beforeAutospacing="1" w:after="100" w:afterAutospacing="1"/>
      </w:pPr>
      <w:bookmarkStart w:id="35" w:name="_Toc441250836"/>
      <w:bookmarkStart w:id="36" w:name="_Toc1637175"/>
      <w:r>
        <w:t>ARTICLE II.9 – PRE-EXISTING RIGHTS AND OWNERSHIP AND USE OF THE RESULTS (INCLUDING INTELLECTUAL AND INDUSTRIAL PROPERTY RIGHTS)</w:t>
      </w:r>
      <w:bookmarkEnd w:id="35"/>
      <w:bookmarkEnd w:id="36"/>
    </w:p>
    <w:p w14:paraId="3BBB8BCB" w14:textId="77777777" w:rsidR="00D30E81" w:rsidRPr="00D06D68" w:rsidRDefault="00D30E81" w:rsidP="00797757">
      <w:pPr>
        <w:pStyle w:val="Kop3"/>
        <w:spacing w:before="100" w:beforeAutospacing="1" w:after="100" w:afterAutospacing="1"/>
      </w:pPr>
      <w:bookmarkStart w:id="37" w:name="_Toc441250837"/>
      <w:bookmarkStart w:id="38" w:name="_Toc1637176"/>
      <w:r w:rsidRPr="00D06D68">
        <w:t>II.9.1</w:t>
      </w:r>
      <w:r w:rsidRPr="00D06D68">
        <w:tab/>
        <w:t xml:space="preserve">Ownership of the results by the </w:t>
      </w:r>
      <w:bookmarkEnd w:id="37"/>
      <w:r w:rsidR="00467201" w:rsidRPr="00D06D68">
        <w:t>beneficiary</w:t>
      </w:r>
      <w:bookmarkEnd w:id="38"/>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Kop3"/>
        <w:spacing w:before="100" w:beforeAutospacing="1" w:after="100" w:afterAutospacing="1"/>
      </w:pPr>
      <w:bookmarkStart w:id="39" w:name="_Toc441250838"/>
      <w:bookmarkStart w:id="40" w:name="_Toc1637177"/>
      <w:r w:rsidRPr="00D06D68">
        <w:t>II.9.2</w:t>
      </w:r>
      <w:r w:rsidRPr="00D06D68">
        <w:tab/>
        <w:t>Pre-existing rights</w:t>
      </w:r>
      <w:bookmarkEnd w:id="39"/>
      <w:bookmarkEnd w:id="40"/>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Kop3"/>
        <w:spacing w:before="100" w:beforeAutospacing="1" w:after="100" w:afterAutospacing="1"/>
      </w:pPr>
      <w:bookmarkStart w:id="41" w:name="_Toc441250839"/>
      <w:bookmarkStart w:id="42" w:name="_Toc1637178"/>
      <w:r w:rsidRPr="00D06D68">
        <w:t>II.9.3</w:t>
      </w:r>
      <w:r w:rsidRPr="00D06D68">
        <w:tab/>
        <w:t>Rights of use of the results and of pre-existing rights by the Union</w:t>
      </w:r>
      <w:bookmarkEnd w:id="41"/>
      <w:bookmarkEnd w:id="42"/>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Kop2"/>
        <w:spacing w:before="100" w:beforeAutospacing="1" w:after="100" w:afterAutospacing="1"/>
      </w:pPr>
      <w:bookmarkStart w:id="43" w:name="_Toc441250840"/>
      <w:bookmarkStart w:id="44" w:name="_Toc1637179"/>
      <w:r>
        <w:t>ARTICLE II.10 – AWARD OF CONTRACTS NECESSARY FOR THE IMPLENTATION OF THE ACTION</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Voetnootmarkering"/>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Voetnootmarkering"/>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Kop2"/>
        <w:spacing w:before="100" w:beforeAutospacing="1" w:after="100" w:afterAutospacing="1"/>
      </w:pPr>
      <w:bookmarkStart w:id="45" w:name="_Toc441250841"/>
      <w:bookmarkStart w:id="46" w:name="_Toc1637180"/>
      <w:r>
        <w:t>ARTICLE II.11 – SUBCONTRACTING OF TASKS FORMING PART OF THE ACTION</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(i)</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Kop2"/>
        <w:spacing w:before="100" w:beforeAutospacing="1" w:after="100" w:afterAutospacing="1"/>
      </w:pPr>
      <w:bookmarkStart w:id="47" w:name="_Toc441250842"/>
      <w:bookmarkStart w:id="48" w:name="_Toc1637181"/>
      <w:r>
        <w:t>ARTICLE II.12 – FINANCIAL SUPPORT TO THIRD PARTIES</w:t>
      </w:r>
      <w:bookmarkEnd w:id="47"/>
      <w:bookmarkEnd w:id="48"/>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Kop2"/>
        <w:spacing w:before="100" w:beforeAutospacing="1" w:after="100" w:afterAutospacing="1"/>
      </w:pPr>
      <w:bookmarkStart w:id="49" w:name="_Toc441250843"/>
      <w:bookmarkStart w:id="50" w:name="_Toc1637182"/>
      <w:r>
        <w:t>ARTICLE II.13 – AMENDMENTS TO THE AGREEMENTS</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Kop2"/>
        <w:spacing w:before="100" w:beforeAutospacing="1" w:after="100" w:afterAutospacing="1"/>
      </w:pPr>
      <w:bookmarkStart w:id="51" w:name="_Toc441250844"/>
      <w:bookmarkStart w:id="52" w:name="_Toc1637183"/>
      <w:r>
        <w:t>ARTICLE II.14 – ASSIGNMENT OF CLAIMS FOR PAYMENTS TO THIRD PARTIES</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Kop2"/>
        <w:spacing w:before="100" w:beforeAutospacing="1" w:after="100" w:afterAutospacing="1"/>
      </w:pPr>
      <w:bookmarkStart w:id="53" w:name="_Toc441250845"/>
      <w:bookmarkStart w:id="54" w:name="_Toc1637184"/>
      <w:r>
        <w:t xml:space="preserve">ARTICLE II.15 </w:t>
      </w:r>
      <w:r w:rsidRPr="00C03303">
        <w:t>– FORCE MAJEURE</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Kop2"/>
        <w:spacing w:before="100" w:beforeAutospacing="1" w:after="100" w:afterAutospacing="1"/>
      </w:pPr>
      <w:bookmarkStart w:id="55" w:name="_Toc441250846"/>
      <w:bookmarkStart w:id="56" w:name="_Toc1637185"/>
      <w:r>
        <w:t>ARTICLE II.16 – SUSPENSION OF THE IMPLEMENTATION OF THE ACTION</w:t>
      </w:r>
      <w:bookmarkEnd w:id="55"/>
      <w:bookmarkEnd w:id="56"/>
    </w:p>
    <w:p w14:paraId="3BBB8C26" w14:textId="77777777" w:rsidR="00D30E81" w:rsidRPr="00D06D68" w:rsidRDefault="00D30E81" w:rsidP="00797757">
      <w:pPr>
        <w:pStyle w:val="Kop3"/>
        <w:spacing w:before="100" w:beforeAutospacing="1" w:after="100" w:afterAutospacing="1"/>
      </w:pPr>
      <w:bookmarkStart w:id="57" w:name="_Toc441250847"/>
      <w:bookmarkStart w:id="58" w:name="_Toc1637186"/>
      <w:r w:rsidRPr="00D06D68">
        <w:t>II.16.1</w:t>
      </w:r>
      <w:r w:rsidRPr="00D06D68">
        <w:tab/>
        <w:t xml:space="preserve">Suspension of implementation by the </w:t>
      </w:r>
      <w:bookmarkEnd w:id="57"/>
      <w:r w:rsidR="00467201" w:rsidRPr="00D06D68">
        <w:t>beneficiary</w:t>
      </w:r>
      <w:bookmarkEnd w:id="58"/>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Kop3"/>
        <w:spacing w:before="100" w:beforeAutospacing="1" w:after="100" w:afterAutospacing="1"/>
      </w:pPr>
      <w:bookmarkStart w:id="59" w:name="_Toc441250848"/>
      <w:bookmarkStart w:id="60" w:name="_Toc1637187"/>
      <w:r w:rsidRPr="00D06D68">
        <w:t>II.16.2</w:t>
      </w:r>
      <w:r w:rsidRPr="00D06D68">
        <w:tab/>
        <w:t>Suspension of implementation by the Commission</w:t>
      </w:r>
      <w:bookmarkEnd w:id="59"/>
      <w:bookmarkEnd w:id="60"/>
    </w:p>
    <w:p w14:paraId="3BBB8C2D" w14:textId="77777777" w:rsidR="00D30E81" w:rsidRPr="00D06D68" w:rsidRDefault="00D30E81" w:rsidP="00797757">
      <w:pPr>
        <w:pStyle w:val="Kop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Kop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Kop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Kop3"/>
        <w:spacing w:before="100" w:beforeAutospacing="1" w:after="100" w:afterAutospacing="1"/>
      </w:pPr>
      <w:bookmarkStart w:id="61" w:name="_Toc441250849"/>
      <w:bookmarkStart w:id="62" w:name="_Toc1637188"/>
      <w:r>
        <w:t xml:space="preserve">II.16.3 </w:t>
      </w:r>
      <w:r w:rsidR="00D30E81" w:rsidRPr="00D06D68">
        <w:t>Effects of the suspension</w:t>
      </w:r>
      <w:bookmarkEnd w:id="61"/>
      <w:bookmarkEnd w:id="62"/>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Kop2"/>
        <w:spacing w:before="100" w:beforeAutospacing="1" w:after="100" w:afterAutospacing="1"/>
      </w:pPr>
      <w:bookmarkStart w:id="63" w:name="_Toc441250850"/>
      <w:bookmarkStart w:id="64" w:name="_Toc1637189"/>
      <w:r>
        <w:t xml:space="preserve">ARTICLE II.17 </w:t>
      </w:r>
      <w:r w:rsidR="0093695C">
        <w:t>–</w:t>
      </w:r>
      <w:r>
        <w:t xml:space="preserve"> TER</w:t>
      </w:r>
      <w:r w:rsidR="0093695C">
        <w:t>MINATION OF THE AGREEMENT</w:t>
      </w:r>
      <w:bookmarkEnd w:id="63"/>
      <w:bookmarkEnd w:id="64"/>
    </w:p>
    <w:p w14:paraId="3BBB8C4F" w14:textId="77777777" w:rsidR="00D30E81" w:rsidRPr="00D06D68" w:rsidRDefault="00D30E81" w:rsidP="00797757">
      <w:pPr>
        <w:pStyle w:val="Kop3"/>
        <w:spacing w:before="100" w:beforeAutospacing="1" w:after="100" w:afterAutospacing="1"/>
      </w:pPr>
      <w:bookmarkStart w:id="65" w:name="_Toc441250851"/>
      <w:bookmarkStart w:id="66" w:name="_Toc1637190"/>
      <w:r w:rsidRPr="00D06D68">
        <w:t>II.17.1</w:t>
      </w:r>
      <w:r w:rsidRPr="00D06D68">
        <w:tab/>
        <w:t xml:space="preserve">Termination of the Agreement by the </w:t>
      </w:r>
      <w:bookmarkEnd w:id="65"/>
      <w:r w:rsidR="00775FFB" w:rsidRPr="00D06D68">
        <w:t>beneficiary</w:t>
      </w:r>
      <w:bookmarkEnd w:id="66"/>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Kop3"/>
        <w:spacing w:before="100" w:beforeAutospacing="1" w:after="100" w:afterAutospacing="1"/>
      </w:pPr>
      <w:bookmarkStart w:id="67" w:name="_Toc441250853"/>
      <w:bookmarkStart w:id="68" w:name="_Toc1637191"/>
      <w:r w:rsidRPr="00D06D68">
        <w:t>II.17.</w:t>
      </w:r>
      <w:r w:rsidR="00B206D8">
        <w:t>2</w:t>
      </w:r>
      <w:r w:rsidRPr="00D06D68">
        <w:tab/>
        <w:t>Termination of the Agreement by the Commission</w:t>
      </w:r>
      <w:bookmarkEnd w:id="67"/>
      <w:bookmarkEnd w:id="68"/>
    </w:p>
    <w:p w14:paraId="3BBB8C57" w14:textId="77777777" w:rsidR="00D30E81" w:rsidRPr="00D06D68" w:rsidRDefault="00D30E81" w:rsidP="00797757">
      <w:pPr>
        <w:pStyle w:val="Kop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r w:rsidR="00F57ECB" w:rsidRPr="00205981">
        <w:rPr>
          <w:szCs w:val="24"/>
        </w:rPr>
        <w:t>i</w:t>
      </w:r>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Kop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Kop3"/>
        <w:spacing w:before="100" w:beforeAutospacing="1" w:after="100" w:afterAutospacing="1"/>
      </w:pPr>
      <w:bookmarkStart w:id="69" w:name="_Toc441250854"/>
      <w:bookmarkStart w:id="70" w:name="_Toc1637192"/>
      <w:r w:rsidRPr="00D06D68">
        <w:t>II.17.</w:t>
      </w:r>
      <w:r w:rsidR="00B206D8">
        <w:t>3</w:t>
      </w:r>
      <w:r w:rsidRPr="00D06D68">
        <w:tab/>
        <w:t>Effects of termination</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I.3.2(a)(i),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Kop2"/>
        <w:spacing w:before="100" w:beforeAutospacing="1" w:after="100" w:afterAutospacing="1"/>
      </w:pPr>
      <w:bookmarkStart w:id="71" w:name="_Toc441250855"/>
      <w:bookmarkStart w:id="72" w:name="_Toc1637193"/>
      <w:r>
        <w:t>ARTICLE II.18 – APPLICABLE LAW, SETTLEMENT OF DISPUTES AND ENFORCEABLE DECISIONS</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Kop1"/>
        <w:spacing w:before="100" w:beforeAutospacing="1" w:after="100" w:afterAutospacing="1"/>
        <w:jc w:val="both"/>
        <w:rPr>
          <w:rFonts w:ascii="Times New Roman" w:hAnsi="Times New Roman"/>
        </w:rPr>
      </w:pPr>
      <w:bookmarkStart w:id="73" w:name="_Toc441250856"/>
      <w:bookmarkStart w:id="74" w:name="_Toc1637194"/>
      <w:r w:rsidRPr="00D06D68">
        <w:rPr>
          <w:rFonts w:ascii="Times New Roman" w:hAnsi="Times New Roman"/>
        </w:rPr>
        <w:t>PART B — FINANCIAL PROVISIONS</w:t>
      </w:r>
      <w:bookmarkEnd w:id="73"/>
      <w:bookmarkEnd w:id="74"/>
    </w:p>
    <w:p w14:paraId="3BBB8C8A" w14:textId="592CA585" w:rsidR="00D30E81" w:rsidRPr="001A04C2" w:rsidRDefault="0093695C" w:rsidP="00797757">
      <w:pPr>
        <w:pStyle w:val="Kop2"/>
        <w:spacing w:before="100" w:beforeAutospacing="1" w:after="100" w:afterAutospacing="1"/>
      </w:pPr>
      <w:bookmarkStart w:id="75" w:name="_Toc441250857"/>
      <w:bookmarkStart w:id="76" w:name="_Toc1637195"/>
      <w:r>
        <w:t>ARTICLE II.19 – ELIGIBLE COSTS</w:t>
      </w:r>
      <w:bookmarkEnd w:id="75"/>
      <w:bookmarkEnd w:id="76"/>
    </w:p>
    <w:p w14:paraId="3BBB8C8B" w14:textId="77777777" w:rsidR="00D30E81" w:rsidRPr="00D06D68" w:rsidRDefault="00D30E81" w:rsidP="00797757">
      <w:pPr>
        <w:pStyle w:val="Kop3"/>
        <w:spacing w:before="100" w:beforeAutospacing="1" w:after="100" w:afterAutospacing="1"/>
      </w:pPr>
      <w:bookmarkStart w:id="77" w:name="_Toc441250858"/>
      <w:bookmarkStart w:id="78" w:name="_Toc1637196"/>
      <w:r w:rsidRPr="00D06D68">
        <w:t>II.19.1</w:t>
      </w:r>
      <w:r w:rsidRPr="00D06D68">
        <w:tab/>
        <w:t>Conditions for the eligibility of costs</w:t>
      </w:r>
      <w:bookmarkEnd w:id="77"/>
      <w:bookmarkEnd w:id="78"/>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Kop3"/>
        <w:spacing w:before="100" w:beforeAutospacing="1" w:after="100" w:afterAutospacing="1"/>
      </w:pPr>
      <w:bookmarkStart w:id="79" w:name="_Toc441250859"/>
      <w:bookmarkStart w:id="80" w:name="_Toc1637197"/>
      <w:r w:rsidRPr="00D06D68">
        <w:t>II.19.2</w:t>
      </w:r>
      <w:r w:rsidRPr="00D06D68">
        <w:tab/>
        <w:t>Eligible direct costs</w:t>
      </w:r>
      <w:bookmarkEnd w:id="79"/>
      <w:bookmarkEnd w:id="80"/>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the costs are not significan</w:t>
      </w:r>
      <w:r w:rsidRPr="00DE6D87">
        <w:rPr>
          <w:szCs w:val="24"/>
          <w:lang w:val="en-US"/>
        </w:rPr>
        <w:t>tly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jstalinea"/>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jstalinea"/>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Kop3"/>
        <w:spacing w:before="100" w:beforeAutospacing="1" w:after="100" w:afterAutospacing="1"/>
      </w:pPr>
      <w:bookmarkStart w:id="81" w:name="_Toc441250860"/>
      <w:bookmarkStart w:id="82" w:name="_Toc1637198"/>
      <w:r w:rsidRPr="00D06D68">
        <w:t>II.19.3</w:t>
      </w:r>
      <w:r w:rsidRPr="00D06D68">
        <w:tab/>
        <w:t>Eligible indirect costs</w:t>
      </w:r>
      <w:bookmarkEnd w:id="81"/>
      <w:bookmarkEnd w:id="82"/>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Kop3"/>
        <w:spacing w:before="100" w:beforeAutospacing="1" w:after="100" w:afterAutospacing="1"/>
      </w:pPr>
      <w:bookmarkStart w:id="83" w:name="_Toc441250861"/>
      <w:bookmarkStart w:id="84" w:name="_Toc1637199"/>
      <w:r w:rsidRPr="00D06D68">
        <w:t>II.19.4</w:t>
      </w:r>
      <w:r w:rsidRPr="00D06D68">
        <w:tab/>
        <w:t>Ineligible costs</w:t>
      </w:r>
      <w:bookmarkEnd w:id="83"/>
      <w:bookmarkEnd w:id="84"/>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Kop2"/>
        <w:spacing w:before="100" w:beforeAutospacing="1" w:after="100" w:afterAutospacing="1"/>
      </w:pPr>
      <w:bookmarkStart w:id="85" w:name="_Toc441250862"/>
      <w:bookmarkStart w:id="86" w:name="_Toc1637200"/>
      <w:r>
        <w:t>ARTICLE II.20 – IDENTIFIABILITY AND VERIFIABILITY OF THE AMOUNTS DECLARED</w:t>
      </w:r>
      <w:bookmarkEnd w:id="85"/>
      <w:bookmarkEnd w:id="86"/>
    </w:p>
    <w:p w14:paraId="3BBB8CBA" w14:textId="77777777" w:rsidR="00D30E81" w:rsidRPr="00D06D68" w:rsidRDefault="00D30E81" w:rsidP="00797757">
      <w:pPr>
        <w:pStyle w:val="Kop3"/>
        <w:spacing w:before="100" w:beforeAutospacing="1" w:after="100" w:afterAutospacing="1"/>
      </w:pPr>
      <w:bookmarkStart w:id="87" w:name="_Toc441250863"/>
      <w:bookmarkStart w:id="88" w:name="_Toc1637201"/>
      <w:r w:rsidRPr="006F794A">
        <w:t>II.20.1 Declaring costs and contributions</w:t>
      </w:r>
      <w:bookmarkEnd w:id="87"/>
      <w:bookmarkEnd w:id="88"/>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Kop3"/>
        <w:spacing w:before="100" w:beforeAutospacing="1" w:after="100" w:afterAutospacing="1"/>
        <w:ind w:left="851" w:hanging="851"/>
      </w:pPr>
      <w:bookmarkStart w:id="89" w:name="_Toc441250864"/>
      <w:bookmarkStart w:id="90" w:name="_Toc1637202"/>
      <w:r w:rsidRPr="00D06D68">
        <w:t>II.20.2</w:t>
      </w:r>
      <w:r w:rsidRPr="00D06D68">
        <w:tab/>
        <w:t>Records and other documentation to support the costs and contributions declared</w:t>
      </w:r>
      <w:bookmarkEnd w:id="89"/>
      <w:bookmarkEnd w:id="90"/>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Kop3"/>
        <w:spacing w:before="100" w:beforeAutospacing="1" w:after="100" w:afterAutospacing="1"/>
      </w:pPr>
      <w:bookmarkStart w:id="91" w:name="_Toc441250865"/>
      <w:bookmarkStart w:id="92" w:name="_Toc1637203"/>
      <w:r w:rsidRPr="00D06D68">
        <w:t>II.20.3 Conditions to determine the compliance of cost accounting practices</w:t>
      </w:r>
      <w:bookmarkEnd w:id="91"/>
      <w:bookmarkEnd w:id="92"/>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Kop2"/>
        <w:spacing w:before="100" w:beforeAutospacing="1" w:after="100" w:afterAutospacing="1"/>
      </w:pPr>
      <w:bookmarkStart w:id="93" w:name="_Toc441250866"/>
      <w:bookmarkStart w:id="94" w:name="_Toc1637204"/>
      <w:r>
        <w:t>ARTICLE II.21 – ELIGIBILITY OF COSTS OF ENTITIES AFFILIATED TO THE BENEFICIARY</w:t>
      </w:r>
      <w:bookmarkEnd w:id="93"/>
      <w:bookmarkEnd w:id="94"/>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Kop2"/>
        <w:spacing w:before="100" w:beforeAutospacing="1" w:after="100" w:afterAutospacing="1"/>
      </w:pPr>
      <w:bookmarkStart w:id="95" w:name="_Toc441250867"/>
      <w:bookmarkStart w:id="96" w:name="_Toc1637205"/>
      <w:r>
        <w:t>ARTICLE II.22 – BUDGET TRANSFERS</w:t>
      </w:r>
      <w:bookmarkEnd w:id="95"/>
      <w:bookmarkEnd w:id="96"/>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Kop2"/>
        <w:spacing w:before="100" w:beforeAutospacing="1" w:after="100" w:afterAutospacing="1"/>
      </w:pPr>
      <w:bookmarkStart w:id="97" w:name="_Toc441250868"/>
      <w:bookmarkStart w:id="98" w:name="_Toc1637206"/>
      <w:r>
        <w:t xml:space="preserve">ARTICLE </w:t>
      </w:r>
      <w:r w:rsidR="0093695C">
        <w:t>II.23 – NON-COMPLIANCE WITH THE REPORTING OBLIGATIONS</w:t>
      </w:r>
      <w:bookmarkEnd w:id="97"/>
      <w:bookmarkEnd w:id="98"/>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Kop2"/>
        <w:spacing w:before="100" w:beforeAutospacing="1" w:after="100" w:afterAutospacing="1"/>
      </w:pPr>
      <w:bookmarkStart w:id="99" w:name="_Toc441250869"/>
      <w:bookmarkStart w:id="100" w:name="_Toc1637207"/>
      <w:r>
        <w:t>ARTICLE II.24 – SUSPENSION OF PAYMENTS AND TIME LINE FOR PAYMENT</w:t>
      </w:r>
      <w:bookmarkEnd w:id="99"/>
      <w:bookmarkEnd w:id="100"/>
    </w:p>
    <w:p w14:paraId="3BBB8CEF" w14:textId="77777777" w:rsidR="00D30E81" w:rsidRPr="00D06D68" w:rsidRDefault="00D30E81" w:rsidP="00797757">
      <w:pPr>
        <w:pStyle w:val="Kop3"/>
        <w:spacing w:before="100" w:beforeAutospacing="1" w:after="100" w:afterAutospacing="1"/>
      </w:pPr>
      <w:bookmarkStart w:id="101" w:name="_Toc441250870"/>
      <w:bookmarkStart w:id="102" w:name="_Toc1637208"/>
      <w:r w:rsidRPr="00D06D68">
        <w:t>II.24.1 Suspension of payments</w:t>
      </w:r>
      <w:bookmarkEnd w:id="101"/>
      <w:bookmarkEnd w:id="102"/>
      <w:r w:rsidRPr="00D06D68">
        <w:t xml:space="preserve">  </w:t>
      </w:r>
    </w:p>
    <w:p w14:paraId="3BBB8CF0" w14:textId="77777777" w:rsidR="00D30E81" w:rsidRPr="00D06D68" w:rsidRDefault="00D30E81" w:rsidP="00797757">
      <w:pPr>
        <w:pStyle w:val="Kop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Kop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Verwijzingopmerking"/>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Kop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Kop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Kop3"/>
        <w:spacing w:before="100" w:beforeAutospacing="1" w:after="100" w:afterAutospacing="1"/>
      </w:pPr>
      <w:bookmarkStart w:id="103" w:name="_Toc441250871"/>
      <w:bookmarkStart w:id="104" w:name="_Toc1637209"/>
      <w:r w:rsidRPr="00D06D68">
        <w:t>II.24.2 Suspension of the time limit for payments</w:t>
      </w:r>
      <w:bookmarkEnd w:id="103"/>
      <w:bookmarkEnd w:id="104"/>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5" w:name="_Toc441250872"/>
    </w:p>
    <w:p w14:paraId="3BBB8D1B" w14:textId="5421BAAF" w:rsidR="00D30E81" w:rsidRPr="001A04C2" w:rsidRDefault="0093695C" w:rsidP="00797757">
      <w:pPr>
        <w:pStyle w:val="Kop2"/>
        <w:spacing w:before="100" w:beforeAutospacing="1" w:after="100" w:afterAutospacing="1"/>
      </w:pPr>
      <w:bookmarkStart w:id="106" w:name="_Toc1637210"/>
      <w:r>
        <w:t>ARTICLE II.25 – CALCULATION OF THE FINAL AMOUNT OF THE GRANT</w:t>
      </w:r>
      <w:bookmarkEnd w:id="105"/>
      <w:bookmarkEnd w:id="106"/>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Kop3"/>
        <w:spacing w:before="100" w:beforeAutospacing="1" w:after="100" w:afterAutospacing="1"/>
        <w:ind w:left="851" w:hanging="851"/>
      </w:pPr>
      <w:bookmarkStart w:id="107" w:name="_Toc441250873"/>
      <w:bookmarkStart w:id="108"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7"/>
      <w:bookmarkEnd w:id="108"/>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I.3.2(a)(i),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(i)</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Kop3"/>
        <w:spacing w:before="100" w:beforeAutospacing="1" w:after="100" w:afterAutospacing="1"/>
      </w:pPr>
      <w:bookmarkStart w:id="109" w:name="_Toc441250874"/>
      <w:bookmarkStart w:id="110" w:name="_Toc1637212"/>
      <w:r w:rsidRPr="00D06D68">
        <w:t>II.25.2</w:t>
      </w:r>
      <w:r w:rsidRPr="00D06D68">
        <w:tab/>
        <w:t xml:space="preserve"> Step 2 — Limit to </w:t>
      </w:r>
      <w:r w:rsidRPr="001C2768">
        <w:t>maximum amount of the grant</w:t>
      </w:r>
      <w:bookmarkEnd w:id="109"/>
      <w:bookmarkEnd w:id="110"/>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Kop3"/>
        <w:spacing w:before="100" w:beforeAutospacing="1" w:after="100" w:afterAutospacing="1"/>
      </w:pPr>
      <w:bookmarkStart w:id="111" w:name="_Toc441250875"/>
      <w:bookmarkStart w:id="112" w:name="_Toc1637213"/>
      <w:r w:rsidRPr="00D06D68">
        <w:t>II.25.3</w:t>
      </w:r>
      <w:r w:rsidRPr="00D06D68">
        <w:tab/>
        <w:t xml:space="preserve"> Step 3 — </w:t>
      </w:r>
      <w:r w:rsidRPr="002A78A0">
        <w:t>Reduction due to the no-profit rule</w:t>
      </w:r>
      <w:bookmarkEnd w:id="111"/>
      <w:bookmarkEnd w:id="112"/>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jstalinea"/>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I.3.2(a)(i)</w:t>
      </w:r>
      <w:r w:rsidR="00C52E0F" w:rsidRPr="00316B3E">
        <w:rPr>
          <w:lang w:val="en-GB"/>
        </w:rPr>
        <w:t xml:space="preserve">. </w:t>
      </w:r>
    </w:p>
    <w:p w14:paraId="3BBB8D3A" w14:textId="56309277" w:rsidR="00D30E81" w:rsidRPr="00D06D68" w:rsidRDefault="00D30E81" w:rsidP="001C2768">
      <w:pPr>
        <w:pStyle w:val="Kop3"/>
        <w:spacing w:before="100" w:beforeAutospacing="1" w:after="100" w:afterAutospacing="1"/>
        <w:ind w:left="851" w:hanging="851"/>
      </w:pPr>
      <w:bookmarkStart w:id="113" w:name="_Toc441250876"/>
      <w:bookmarkStart w:id="114" w:name="_Toc1637214"/>
      <w:r w:rsidRPr="00D06D68">
        <w:t>II.25.4</w:t>
      </w:r>
      <w:r w:rsidRPr="00D06D68">
        <w:tab/>
        <w:t xml:space="preserve">Step 4 — </w:t>
      </w:r>
      <w:r w:rsidRPr="00CF4A18">
        <w:t>Reduction due to improper implementation or breach of other obligations</w:t>
      </w:r>
      <w:bookmarkEnd w:id="113"/>
      <w:bookmarkEnd w:id="114"/>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Kop2"/>
        <w:spacing w:before="100" w:beforeAutospacing="1" w:after="100" w:afterAutospacing="1"/>
      </w:pPr>
      <w:bookmarkStart w:id="115" w:name="_Toc441250877"/>
      <w:bookmarkStart w:id="116" w:name="_Toc1637215"/>
      <w:r>
        <w:t>ARTICLE II.26 - RECOVERY</w:t>
      </w:r>
      <w:bookmarkEnd w:id="115"/>
      <w:bookmarkEnd w:id="116"/>
    </w:p>
    <w:p w14:paraId="3BBB8D4A" w14:textId="77777777" w:rsidR="001B3D09" w:rsidRPr="00430E54" w:rsidRDefault="00D30E81" w:rsidP="00797757">
      <w:pPr>
        <w:pStyle w:val="Kop3"/>
        <w:spacing w:before="100" w:beforeAutospacing="1" w:after="100" w:afterAutospacing="1"/>
      </w:pPr>
      <w:bookmarkStart w:id="117" w:name="_Toc1637216"/>
      <w:bookmarkStart w:id="118" w:name="_Toc441250878"/>
      <w:r w:rsidRPr="00430E54">
        <w:t>II.26.1</w:t>
      </w:r>
      <w:r w:rsidRPr="00430E54">
        <w:tab/>
        <w:t>Recovery</w:t>
      </w:r>
      <w:bookmarkEnd w:id="117"/>
      <w:r w:rsidRPr="00430E54">
        <w:t xml:space="preserve"> </w:t>
      </w:r>
    </w:p>
    <w:bookmarkEnd w:id="118"/>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Kop3"/>
        <w:spacing w:before="100" w:beforeAutospacing="1" w:after="100" w:afterAutospacing="1"/>
      </w:pPr>
      <w:bookmarkStart w:id="119" w:name="_Toc441250880"/>
      <w:bookmarkStart w:id="120" w:name="_Toc1637217"/>
      <w:r w:rsidRPr="00D06D68">
        <w:rPr>
          <w:bCs/>
        </w:rPr>
        <w:t>II.26.</w:t>
      </w:r>
      <w:r w:rsidR="00576152">
        <w:rPr>
          <w:bCs/>
        </w:rPr>
        <w:t>2</w:t>
      </w:r>
      <w:r w:rsidRPr="00D06D68">
        <w:tab/>
        <w:t>Recovery procedure</w:t>
      </w:r>
      <w:bookmarkEnd w:id="119"/>
      <w:bookmarkEnd w:id="120"/>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Kop3"/>
        <w:spacing w:before="100" w:beforeAutospacing="1" w:after="100" w:afterAutospacing="1"/>
      </w:pPr>
      <w:bookmarkStart w:id="121" w:name="_Toc441250881"/>
      <w:bookmarkStart w:id="122" w:name="_Toc1637218"/>
      <w:r w:rsidRPr="00D06D68">
        <w:t>II.26.</w:t>
      </w:r>
      <w:r w:rsidR="00576152">
        <w:t>3</w:t>
      </w:r>
      <w:r w:rsidRPr="00D06D68">
        <w:tab/>
        <w:t>Interest on late payment</w:t>
      </w:r>
      <w:bookmarkEnd w:id="121"/>
      <w:bookmarkEnd w:id="122"/>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Kop3"/>
        <w:spacing w:before="100" w:beforeAutospacing="1" w:after="100" w:afterAutospacing="1"/>
      </w:pPr>
      <w:bookmarkStart w:id="123" w:name="_Toc441250882"/>
      <w:bookmarkStart w:id="124" w:name="_Toc1637219"/>
      <w:r w:rsidRPr="00D06D68">
        <w:t>II.26.</w:t>
      </w:r>
      <w:r w:rsidR="00576152">
        <w:t>4</w:t>
      </w:r>
      <w:r w:rsidRPr="00D06D68">
        <w:tab/>
        <w:t>Bank charges</w:t>
      </w:r>
      <w:bookmarkEnd w:id="123"/>
      <w:bookmarkEnd w:id="124"/>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Voetnootmarkering"/>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Kop2"/>
        <w:spacing w:before="100" w:beforeAutospacing="1" w:after="100" w:afterAutospacing="1"/>
      </w:pPr>
      <w:bookmarkStart w:id="125" w:name="_Toc441250883"/>
      <w:bookmarkStart w:id="126" w:name="_Toc1637220"/>
      <w:r>
        <w:t>ARTICLE II.27 – CHECKS, AUDITS AND EVALUATIONS</w:t>
      </w:r>
      <w:bookmarkEnd w:id="125"/>
      <w:bookmarkEnd w:id="126"/>
    </w:p>
    <w:p w14:paraId="3BBB8D5F" w14:textId="77777777" w:rsidR="00D30E81" w:rsidRPr="00D06D68" w:rsidRDefault="00D30E81" w:rsidP="00797757">
      <w:pPr>
        <w:pStyle w:val="Kop3"/>
        <w:spacing w:before="100" w:beforeAutospacing="1" w:after="100" w:afterAutospacing="1"/>
      </w:pPr>
      <w:bookmarkStart w:id="127" w:name="_Toc441250884"/>
      <w:bookmarkStart w:id="128" w:name="_Toc1637221"/>
      <w:r w:rsidRPr="00D06D68">
        <w:t>II.27.1</w:t>
      </w:r>
      <w:r w:rsidRPr="00D06D68">
        <w:tab/>
        <w:t>Technical and financial checks, audits, interim and final evaluations</w:t>
      </w:r>
      <w:bookmarkEnd w:id="127"/>
      <w:bookmarkEnd w:id="128"/>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Kop3"/>
        <w:spacing w:before="100" w:beforeAutospacing="1" w:after="100" w:afterAutospacing="1"/>
      </w:pPr>
      <w:bookmarkStart w:id="129" w:name="_Toc441250885"/>
      <w:bookmarkStart w:id="130" w:name="_Toc1637222"/>
      <w:r w:rsidRPr="00D06D68">
        <w:t>II.27.2 Duty to keep documents</w:t>
      </w:r>
      <w:bookmarkEnd w:id="129"/>
      <w:bookmarkEnd w:id="130"/>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Kop3"/>
        <w:spacing w:before="100" w:beforeAutospacing="1" w:after="100" w:afterAutospacing="1"/>
      </w:pPr>
      <w:bookmarkStart w:id="131" w:name="_Toc441250886"/>
      <w:bookmarkStart w:id="132" w:name="_Toc1637223"/>
      <w:r w:rsidRPr="00D06D68">
        <w:t>II.27.3 Obligation to provide information</w:t>
      </w:r>
      <w:bookmarkEnd w:id="131"/>
      <w:bookmarkEnd w:id="132"/>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Kop3"/>
        <w:spacing w:before="100" w:beforeAutospacing="1" w:after="100" w:afterAutospacing="1"/>
      </w:pPr>
      <w:bookmarkStart w:id="133" w:name="_Toc441250887"/>
      <w:bookmarkStart w:id="134" w:name="_Toc1637224"/>
      <w:r w:rsidRPr="00D06D68">
        <w:t>II.27.4</w:t>
      </w:r>
      <w:r w:rsidR="00273B1B">
        <w:t xml:space="preserve"> </w:t>
      </w:r>
      <w:r w:rsidRPr="00D06D68">
        <w:t>On-the-spot visits</w:t>
      </w:r>
      <w:bookmarkEnd w:id="133"/>
      <w:bookmarkEnd w:id="134"/>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Kop3"/>
        <w:spacing w:before="100" w:beforeAutospacing="1" w:after="100" w:afterAutospacing="1"/>
      </w:pPr>
      <w:bookmarkStart w:id="135" w:name="_Toc441250888"/>
      <w:bookmarkStart w:id="136" w:name="_Toc1637225"/>
      <w:r w:rsidRPr="00D06D68">
        <w:t>II.27.5</w:t>
      </w:r>
      <w:r w:rsidR="00273B1B">
        <w:t xml:space="preserve"> </w:t>
      </w:r>
      <w:r w:rsidRPr="00D06D68">
        <w:t>Contradictory audit procedure</w:t>
      </w:r>
      <w:bookmarkEnd w:id="135"/>
      <w:bookmarkEnd w:id="136"/>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Kop3"/>
        <w:spacing w:before="100" w:beforeAutospacing="1" w:after="100" w:afterAutospacing="1"/>
      </w:pPr>
      <w:bookmarkStart w:id="137" w:name="_Toc441250889"/>
      <w:bookmarkStart w:id="138" w:name="_Toc1637226"/>
      <w:r w:rsidRPr="00D06D68">
        <w:t>II.27.6 Effects of audit findings</w:t>
      </w:r>
      <w:bookmarkEnd w:id="137"/>
      <w:bookmarkEnd w:id="138"/>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Kop3"/>
        <w:spacing w:before="100" w:beforeAutospacing="1" w:after="100" w:afterAutospacing="1"/>
      </w:pPr>
      <w:bookmarkStart w:id="139" w:name="_Toc441250890"/>
      <w:bookmarkStart w:id="140" w:name="_Toc1637227"/>
      <w:r w:rsidRPr="00D06D68">
        <w:t>II.27.7 Correction of systemic or recurrent errors, irregularities, fraud or breach of obligations</w:t>
      </w:r>
      <w:bookmarkEnd w:id="139"/>
      <w:bookmarkEnd w:id="140"/>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jstalinea"/>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jstalinea"/>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jstalinea"/>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Kop3"/>
        <w:spacing w:before="100" w:beforeAutospacing="1" w:after="100" w:afterAutospacing="1"/>
      </w:pPr>
      <w:bookmarkStart w:id="141" w:name="_Toc441250891"/>
      <w:bookmarkStart w:id="142" w:name="_Toc1637228"/>
      <w:r w:rsidRPr="00D06D68">
        <w:t>II.27.8</w:t>
      </w:r>
      <w:r w:rsidR="00164854">
        <w:t xml:space="preserve"> </w:t>
      </w:r>
      <w:r w:rsidR="00F53C88">
        <w:t>Rights of</w:t>
      </w:r>
      <w:r w:rsidRPr="00D06D68">
        <w:t xml:space="preserve"> OLAF</w:t>
      </w:r>
      <w:bookmarkEnd w:id="141"/>
      <w:bookmarkEnd w:id="142"/>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Voetnootmarkering"/>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Voetnootmarkering"/>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Kop3"/>
        <w:spacing w:before="100" w:beforeAutospacing="1" w:after="100" w:afterAutospacing="1"/>
      </w:pPr>
      <w:bookmarkStart w:id="143" w:name="_Toc441250892"/>
      <w:bookmarkStart w:id="144" w:name="_Toc1637229"/>
      <w:r w:rsidRPr="00D06D68">
        <w:t>II.27.9</w:t>
      </w:r>
      <w:r w:rsidRPr="00D06D68">
        <w:tab/>
      </w:r>
      <w:r w:rsidR="00F53C88">
        <w:t>Rights of</w:t>
      </w:r>
      <w:r w:rsidRPr="00D06D68">
        <w:t xml:space="preserve"> the European Court of Auditors</w:t>
      </w:r>
      <w:bookmarkEnd w:id="143"/>
      <w:r w:rsidR="00A46759">
        <w:t xml:space="preserve"> and EPP</w:t>
      </w:r>
      <w:r w:rsidR="00F53C88">
        <w:t>O</w:t>
      </w:r>
      <w:bookmarkEnd w:id="144"/>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8DB4" w14:textId="77777777" w:rsidR="00890C7B" w:rsidRDefault="00890C7B" w:rsidP="009533DC">
      <w:pPr>
        <w:spacing w:after="0" w:line="240" w:lineRule="auto"/>
      </w:pPr>
      <w:r>
        <w:separator/>
      </w:r>
    </w:p>
  </w:endnote>
  <w:endnote w:type="continuationSeparator" w:id="0">
    <w:p w14:paraId="3BBB8DB5" w14:textId="77777777" w:rsidR="00890C7B" w:rsidRDefault="00890C7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7" w14:textId="3CB1B7B9" w:rsidR="00890C7B" w:rsidRDefault="00890C7B">
    <w:pPr>
      <w:pStyle w:val="Voettekst"/>
      <w:jc w:val="right"/>
    </w:pPr>
    <w:r>
      <w:fldChar w:fldCharType="begin"/>
    </w:r>
    <w:r>
      <w:instrText xml:space="preserve"> PAGE   \* MERGEFORMAT </w:instrText>
    </w:r>
    <w:r>
      <w:fldChar w:fldCharType="separate"/>
    </w:r>
    <w:r w:rsidR="005F72EE">
      <w:rPr>
        <w:noProof/>
      </w:rPr>
      <w:t>1</w:t>
    </w:r>
    <w:r>
      <w:rPr>
        <w:noProof/>
      </w:rPr>
      <w:fldChar w:fldCharType="end"/>
    </w:r>
  </w:p>
  <w:p w14:paraId="3BBB8DB8" w14:textId="77777777" w:rsidR="00890C7B" w:rsidRDefault="00890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A" w14:textId="1C03FB21" w:rsidR="00890C7B" w:rsidRDefault="00890C7B">
    <w:pPr>
      <w:pStyle w:val="Voettekst"/>
      <w:jc w:val="right"/>
    </w:pPr>
    <w:r>
      <w:fldChar w:fldCharType="begin"/>
    </w:r>
    <w:r>
      <w:instrText xml:space="preserve"> PAGE   \* MERGEFORMAT </w:instrText>
    </w:r>
    <w:r>
      <w:fldChar w:fldCharType="separate"/>
    </w:r>
    <w:r w:rsidR="005A4103">
      <w:rPr>
        <w:noProof/>
      </w:rPr>
      <w:t>21</w:t>
    </w:r>
    <w:r>
      <w:rPr>
        <w:noProof/>
      </w:rPr>
      <w:fldChar w:fldCharType="end"/>
    </w:r>
  </w:p>
  <w:p w14:paraId="3BBB8DBB" w14:textId="77777777" w:rsidR="00890C7B" w:rsidRDefault="00890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8DB2" w14:textId="77777777" w:rsidR="00890C7B" w:rsidRDefault="00890C7B" w:rsidP="009533DC">
      <w:pPr>
        <w:spacing w:after="0" w:line="240" w:lineRule="auto"/>
      </w:pPr>
      <w:r>
        <w:separator/>
      </w:r>
    </w:p>
  </w:footnote>
  <w:footnote w:type="continuationSeparator" w:id="0">
    <w:p w14:paraId="3BBB8DB3" w14:textId="77777777" w:rsidR="00890C7B" w:rsidRDefault="00890C7B" w:rsidP="009533DC">
      <w:pPr>
        <w:spacing w:after="0" w:line="240" w:lineRule="auto"/>
      </w:pPr>
      <w:r>
        <w:continuationSeparator/>
      </w:r>
    </w:p>
  </w:footnote>
  <w:footnote w:id="1">
    <w:p w14:paraId="3BBB8DE9" w14:textId="12010E05" w:rsidR="00890C7B" w:rsidRPr="00A83724" w:rsidRDefault="00890C7B" w:rsidP="002F2688">
      <w:pPr>
        <w:tabs>
          <w:tab w:val="left" w:pos="284"/>
        </w:tabs>
        <w:spacing w:after="0" w:line="240" w:lineRule="auto"/>
        <w:ind w:left="284" w:hanging="284"/>
        <w:jc w:val="both"/>
        <w:rPr>
          <w:sz w:val="20"/>
          <w:szCs w:val="20"/>
        </w:rPr>
      </w:pPr>
      <w:r w:rsidRPr="003F39F9">
        <w:rPr>
          <w:rStyle w:val="Voetnootmarkering"/>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A83724" w:rsidRDefault="00890C7B" w:rsidP="00A538BB">
      <w:pPr>
        <w:pStyle w:val="Voetnoottekst"/>
        <w:tabs>
          <w:tab w:val="left" w:pos="284"/>
        </w:tabs>
        <w:spacing w:after="0" w:line="240" w:lineRule="auto"/>
        <w:ind w:left="284" w:hanging="284"/>
      </w:pPr>
    </w:p>
  </w:footnote>
  <w:footnote w:id="4">
    <w:p w14:paraId="3BBB8DEE" w14:textId="2248D718" w:rsidR="00890C7B" w:rsidRPr="006250FD"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rPr>
          <w:bCs/>
        </w:rPr>
        <w:t>Directive 2007/64/EC</w:t>
      </w:r>
      <w:r w:rsidRPr="003F39F9">
        <w:rPr>
          <w:rStyle w:val="Voetnootmarkering"/>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EA09" w14:textId="77777777" w:rsidR="00890C7B" w:rsidRDefault="00890C7B" w:rsidP="001C2768">
    <w:pPr>
      <w:pStyle w:val="Koptekst"/>
      <w:spacing w:after="0"/>
      <w:rPr>
        <w:sz w:val="18"/>
        <w:szCs w:val="18"/>
      </w:rPr>
    </w:pPr>
    <w:r w:rsidRPr="00192D0E">
      <w:rPr>
        <w:sz w:val="18"/>
        <w:szCs w:val="18"/>
      </w:rPr>
      <w:t>Agreement number: [complete]</w:t>
    </w:r>
    <w:r w:rsidRPr="00192D0E">
      <w:rPr>
        <w:sz w:val="18"/>
        <w:szCs w:val="18"/>
      </w:rPr>
      <w:tab/>
    </w:r>
    <w:r w:rsidRPr="00192D0E">
      <w:rPr>
        <w:sz w:val="18"/>
        <w:szCs w:val="18"/>
      </w:rPr>
      <w:tab/>
    </w:r>
  </w:p>
  <w:p w14:paraId="3BBB8DB6" w14:textId="3DE599DA" w:rsidR="00890C7B" w:rsidRPr="00192D0E" w:rsidRDefault="00890C7B" w:rsidP="001C2768">
    <w:pPr>
      <w:pStyle w:val="Koptekst"/>
      <w:jc w:val="right"/>
      <w:rPr>
        <w:sz w:val="18"/>
        <w:szCs w:val="18"/>
      </w:rPr>
    </w:pPr>
    <w:r w:rsidRPr="00192D0E">
      <w:rPr>
        <w:sz w:val="18"/>
        <w:szCs w:val="18"/>
      </w:rPr>
      <w:t>Mono benefi</w:t>
    </w:r>
    <w:r>
      <w:rPr>
        <w:sz w:val="18"/>
        <w:szCs w:val="18"/>
      </w:rPr>
      <w:t>ciary model grant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9" w14:textId="3797CD80" w:rsidR="00890C7B" w:rsidRDefault="00890C7B">
    <w:pPr>
      <w:pStyle w:val="Koptekst"/>
    </w:pPr>
    <w:r>
      <w:rPr>
        <w:sz w:val="18"/>
      </w:rPr>
      <w:t>Agreement number</w:t>
    </w:r>
    <w:r w:rsidRPr="003143A0">
      <w:rPr>
        <w:sz w:val="18"/>
      </w:rPr>
      <w:t>: [</w:t>
    </w:r>
    <w:r w:rsidRPr="004C0364">
      <w:rPr>
        <w:sz w:val="18"/>
      </w:rPr>
      <w:t>complete</w:t>
    </w:r>
    <w:r w:rsidRPr="003143A0">
      <w:rPr>
        <w:sz w:val="18"/>
      </w:rPr>
      <w:t>]</w:t>
    </w:r>
    <w:r>
      <w:rPr>
        <w:sz w:val="18"/>
      </w:rPr>
      <w:tab/>
    </w:r>
    <w:r>
      <w:rPr>
        <w:sz w:val="18"/>
      </w:rPr>
      <w:tab/>
    </w:r>
    <w:r w:rsidR="001A4E91">
      <w:rPr>
        <w:sz w:val="18"/>
      </w:rPr>
      <w:t>Mono-beneficiary m</w:t>
    </w:r>
    <w:r>
      <w:rPr>
        <w:sz w:val="18"/>
      </w:rPr>
      <w:t>odel gran</w:t>
    </w:r>
    <w:r w:rsidR="001A4E91">
      <w:rPr>
        <w:sz w:val="18"/>
      </w:rPr>
      <w:t>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E91"/>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4103"/>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5F72EE"/>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6C78"/>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3D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258"/>
    <w:pPr>
      <w:spacing w:after="200" w:line="276" w:lineRule="auto"/>
    </w:pPr>
    <w:rPr>
      <w:rFonts w:ascii="Times New Roman" w:hAnsi="Times New Roman"/>
      <w:sz w:val="24"/>
      <w:szCs w:val="22"/>
      <w:lang w:eastAsia="en-US"/>
    </w:rPr>
  </w:style>
  <w:style w:type="paragraph" w:styleId="Kop1">
    <w:name w:val="heading 1"/>
    <w:basedOn w:val="Titel"/>
    <w:next w:val="Standaard"/>
    <w:link w:val="Kop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Kop2">
    <w:name w:val="heading 2"/>
    <w:basedOn w:val="Standaard"/>
    <w:next w:val="Standaard"/>
    <w:link w:val="Kop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Kop3">
    <w:name w:val="heading 3"/>
    <w:basedOn w:val="Standaard"/>
    <w:next w:val="Standaard"/>
    <w:link w:val="Kop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Kop4">
    <w:name w:val="heading 4"/>
    <w:basedOn w:val="Standaard"/>
    <w:next w:val="Standaard"/>
    <w:link w:val="Kop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Kop5">
    <w:name w:val="heading 5"/>
    <w:basedOn w:val="Standaard"/>
    <w:next w:val="Standaard"/>
    <w:link w:val="Kop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Kop6">
    <w:name w:val="heading 6"/>
    <w:basedOn w:val="Standaard"/>
    <w:next w:val="Standaard"/>
    <w:link w:val="Kop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Kop7">
    <w:name w:val="heading 7"/>
    <w:basedOn w:val="Standaard"/>
    <w:next w:val="Standaard"/>
    <w:link w:val="Kop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Kop8">
    <w:name w:val="heading 8"/>
    <w:basedOn w:val="Standaard"/>
    <w:next w:val="Standaard"/>
    <w:link w:val="Kop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Kop9">
    <w:name w:val="heading 9"/>
    <w:basedOn w:val="Standaard"/>
    <w:next w:val="Standaard"/>
    <w:link w:val="Kop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link w:val="VoetnoottekstChar1"/>
    <w:unhideWhenUsed/>
    <w:rsid w:val="009533DC"/>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link w:val="Voetnoottekst"/>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iPriority w:val="99"/>
    <w:unhideWhenUsed/>
    <w:rsid w:val="006B2260"/>
    <w:rPr>
      <w:sz w:val="16"/>
      <w:szCs w:val="16"/>
    </w:rPr>
  </w:style>
  <w:style w:type="paragraph" w:styleId="Tekstopmerking">
    <w:name w:val="annotation text"/>
    <w:basedOn w:val="Standaard"/>
    <w:link w:val="TekstopmerkingChar"/>
    <w:uiPriority w:val="99"/>
    <w:unhideWhenUsed/>
    <w:rsid w:val="006B2260"/>
    <w:rPr>
      <w:sz w:val="20"/>
      <w:szCs w:val="20"/>
    </w:rPr>
  </w:style>
  <w:style w:type="character" w:customStyle="1" w:styleId="TekstopmerkingChar">
    <w:name w:val="Tekst opmerking Char"/>
    <w:link w:val="Tekstopmerking"/>
    <w:uiPriority w:val="99"/>
    <w:rsid w:val="006B2260"/>
    <w:rPr>
      <w:lang w:eastAsia="en-US"/>
    </w:rPr>
  </w:style>
  <w:style w:type="paragraph" w:styleId="Ballontekst">
    <w:name w:val="Balloon Text"/>
    <w:basedOn w:val="Standaard"/>
    <w:link w:val="BallontekstChar"/>
    <w:uiPriority w:val="99"/>
    <w:semiHidden/>
    <w:unhideWhenUsed/>
    <w:rsid w:val="006B226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280365"/>
    <w:pPr>
      <w:ind w:left="720"/>
      <w:contextualSpacing/>
    </w:pPr>
    <w:rPr>
      <w:lang w:val="fr-FR"/>
    </w:r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Standaard"/>
    <w:rsid w:val="00280365"/>
    <w:pPr>
      <w:spacing w:after="160" w:line="240" w:lineRule="exact"/>
    </w:pPr>
    <w:rPr>
      <w:rFonts w:ascii="Tahoma" w:eastAsia="Times New Roman" w:hAnsi="Tahoma"/>
      <w:sz w:val="20"/>
      <w:szCs w:val="20"/>
      <w:lang w:val="en-US"/>
    </w:rPr>
  </w:style>
  <w:style w:type="paragraph" w:customStyle="1" w:styleId="CM1">
    <w:name w:val="CM1"/>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e"/>
    <w:hidden/>
    <w:uiPriority w:val="99"/>
    <w:semiHidden/>
    <w:rsid w:val="00280365"/>
    <w:rPr>
      <w:sz w:val="22"/>
      <w:szCs w:val="22"/>
      <w:lang w:val="fr-FR" w:eastAsia="en-US"/>
    </w:rPr>
  </w:style>
  <w:style w:type="paragraph" w:styleId="Revisie">
    <w:name w:val="Revision"/>
    <w:hidden/>
    <w:uiPriority w:val="99"/>
    <w:semiHidden/>
    <w:rsid w:val="00280365"/>
    <w:rPr>
      <w:sz w:val="22"/>
      <w:szCs w:val="22"/>
      <w:lang w:eastAsia="en-US"/>
    </w:rPr>
  </w:style>
  <w:style w:type="paragraph" w:customStyle="1" w:styleId="Char1CharCharChar0">
    <w:name w:val="Char1 Char Char Char"/>
    <w:basedOn w:val="Standaard"/>
    <w:rsid w:val="000A195F"/>
    <w:pPr>
      <w:spacing w:after="160" w:line="240" w:lineRule="exact"/>
    </w:pPr>
    <w:rPr>
      <w:rFonts w:ascii="Tahoma" w:eastAsia="Times New Roman" w:hAnsi="Tahoma"/>
      <w:sz w:val="20"/>
      <w:szCs w:val="20"/>
      <w:lang w:val="en-US"/>
    </w:rPr>
  </w:style>
  <w:style w:type="paragraph" w:customStyle="1" w:styleId="ZCom">
    <w:name w:val="Z_Com"/>
    <w:basedOn w:val="Standaard"/>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Standaard"/>
    <w:rsid w:val="003143A0"/>
    <w:pPr>
      <w:widowControl w:val="0"/>
      <w:spacing w:after="0" w:line="240" w:lineRule="auto"/>
      <w:ind w:right="85"/>
      <w:jc w:val="both"/>
    </w:pPr>
    <w:rPr>
      <w:rFonts w:ascii="Arial" w:eastAsia="Times New Roman" w:hAnsi="Arial"/>
      <w:snapToGrid w:val="0"/>
      <w:sz w:val="16"/>
      <w:szCs w:val="20"/>
    </w:rPr>
  </w:style>
  <w:style w:type="character" w:styleId="Nadruk">
    <w:name w:val="Emphasis"/>
    <w:uiPriority w:val="20"/>
    <w:qFormat/>
    <w:rsid w:val="00964D6A"/>
    <w:rPr>
      <w:i/>
      <w:iCs/>
    </w:rPr>
  </w:style>
  <w:style w:type="paragraph" w:customStyle="1" w:styleId="Heading3contract">
    <w:name w:val="Heading 3 contract"/>
    <w:basedOn w:val="Standaard"/>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styleId="Titel">
    <w:name w:val="Title"/>
    <w:basedOn w:val="Standaard"/>
    <w:link w:val="Titel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elChar">
    <w:name w:val="Titel Char"/>
    <w:link w:val="Titel"/>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Standaard"/>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Standaard"/>
    <w:rsid w:val="00996C14"/>
    <w:pPr>
      <w:spacing w:after="160" w:line="240" w:lineRule="exact"/>
    </w:pPr>
    <w:rPr>
      <w:rFonts w:ascii="Tahoma" w:eastAsia="Times New Roman" w:hAnsi="Tahoma"/>
      <w:sz w:val="20"/>
      <w:szCs w:val="20"/>
      <w:lang w:val="en-US"/>
    </w:rPr>
  </w:style>
  <w:style w:type="character" w:customStyle="1" w:styleId="Kop2Char">
    <w:name w:val="Kop 2 Char"/>
    <w:link w:val="Kop2"/>
    <w:uiPriority w:val="9"/>
    <w:rsid w:val="00A3237A"/>
    <w:rPr>
      <w:rFonts w:ascii="Times New Roman Bold" w:eastAsia="Times New Roman" w:hAnsi="Times New Roman Bold"/>
      <w:b/>
      <w:caps/>
      <w:sz w:val="24"/>
      <w:szCs w:val="24"/>
    </w:rPr>
  </w:style>
  <w:style w:type="character" w:customStyle="1" w:styleId="Kop3Char">
    <w:name w:val="Kop 3 Char"/>
    <w:link w:val="Kop3"/>
    <w:uiPriority w:val="9"/>
    <w:rsid w:val="005506B9"/>
    <w:rPr>
      <w:rFonts w:ascii="Times New Roman" w:eastAsia="Times New Roman" w:hAnsi="Times New Roman"/>
      <w:b/>
      <w:spacing w:val="5"/>
      <w:sz w:val="24"/>
      <w:szCs w:val="24"/>
    </w:rPr>
  </w:style>
  <w:style w:type="character" w:customStyle="1" w:styleId="Kop1Char">
    <w:name w:val="Kop 1 Char"/>
    <w:link w:val="Kop1"/>
    <w:uiPriority w:val="9"/>
    <w:rsid w:val="00550A65"/>
    <w:rPr>
      <w:rFonts w:ascii="Times New Roman Bold" w:eastAsia="Times New Roman" w:hAnsi="Times New Roman Bold"/>
      <w:b/>
      <w:caps/>
      <w:sz w:val="24"/>
      <w:szCs w:val="24"/>
    </w:rPr>
  </w:style>
  <w:style w:type="character" w:customStyle="1" w:styleId="Kop4Char">
    <w:name w:val="Kop 4 Char"/>
    <w:link w:val="Kop4"/>
    <w:uiPriority w:val="9"/>
    <w:rsid w:val="00550A65"/>
    <w:rPr>
      <w:rFonts w:ascii="Times New Roman" w:eastAsia="Times New Roman" w:hAnsi="Times New Roman"/>
      <w:b/>
      <w:sz w:val="24"/>
      <w:szCs w:val="24"/>
      <w:u w:val="single"/>
    </w:rPr>
  </w:style>
  <w:style w:type="character" w:customStyle="1" w:styleId="Kop5Char">
    <w:name w:val="Kop 5 Char"/>
    <w:link w:val="Kop5"/>
    <w:uiPriority w:val="9"/>
    <w:semiHidden/>
    <w:rsid w:val="00550A65"/>
    <w:rPr>
      <w:rFonts w:ascii="Times New Roman" w:eastAsia="Times New Roman" w:hAnsi="Times New Roman"/>
      <w:smallCaps/>
      <w:color w:val="943634"/>
      <w:spacing w:val="10"/>
      <w:sz w:val="22"/>
      <w:szCs w:val="26"/>
    </w:rPr>
  </w:style>
  <w:style w:type="character" w:customStyle="1" w:styleId="Kop6Char">
    <w:name w:val="Kop 6 Char"/>
    <w:link w:val="Kop6"/>
    <w:uiPriority w:val="9"/>
    <w:semiHidden/>
    <w:rsid w:val="00550A65"/>
    <w:rPr>
      <w:rFonts w:ascii="Times New Roman" w:eastAsia="Times New Roman" w:hAnsi="Times New Roman"/>
      <w:smallCaps/>
      <w:color w:val="C0504D"/>
      <w:spacing w:val="5"/>
      <w:sz w:val="22"/>
    </w:rPr>
  </w:style>
  <w:style w:type="character" w:customStyle="1" w:styleId="Kop7Char">
    <w:name w:val="Kop 7 Char"/>
    <w:link w:val="Kop7"/>
    <w:uiPriority w:val="9"/>
    <w:semiHidden/>
    <w:rsid w:val="00550A65"/>
    <w:rPr>
      <w:rFonts w:ascii="Times New Roman" w:eastAsia="Times New Roman" w:hAnsi="Times New Roman"/>
      <w:b/>
      <w:smallCaps/>
      <w:color w:val="C0504D"/>
      <w:spacing w:val="10"/>
      <w:sz w:val="24"/>
    </w:rPr>
  </w:style>
  <w:style w:type="character" w:customStyle="1" w:styleId="Kop8Char">
    <w:name w:val="Kop 8 Char"/>
    <w:link w:val="Kop8"/>
    <w:uiPriority w:val="9"/>
    <w:semiHidden/>
    <w:rsid w:val="00550A65"/>
    <w:rPr>
      <w:rFonts w:ascii="Times New Roman" w:eastAsia="Times New Roman" w:hAnsi="Times New Roman"/>
      <w:b/>
      <w:i/>
      <w:smallCaps/>
      <w:color w:val="943634"/>
      <w:sz w:val="24"/>
    </w:rPr>
  </w:style>
  <w:style w:type="character" w:customStyle="1" w:styleId="Kop9Char">
    <w:name w:val="Kop 9 Char"/>
    <w:link w:val="Kop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Standaard"/>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Standaard"/>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Standaard"/>
    <w:next w:val="Standaard"/>
    <w:rsid w:val="00550A65"/>
    <w:pPr>
      <w:spacing w:before="480" w:beforeAutospacing="1" w:after="0" w:afterAutospacing="1" w:line="240" w:lineRule="auto"/>
      <w:ind w:left="567" w:hanging="567"/>
    </w:pPr>
    <w:rPr>
      <w:rFonts w:eastAsia="Times New Roman"/>
      <w:szCs w:val="20"/>
    </w:rPr>
  </w:style>
  <w:style w:type="paragraph" w:styleId="Lijstopsomteken">
    <w:name w:val="List Bullet"/>
    <w:basedOn w:val="Standaard"/>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Standaard"/>
    <w:rsid w:val="00550A65"/>
    <w:pPr>
      <w:numPr>
        <w:numId w:val="28"/>
      </w:numPr>
      <w:spacing w:before="100" w:beforeAutospacing="1" w:after="100" w:afterAutospacing="1" w:line="240" w:lineRule="auto"/>
      <w:jc w:val="both"/>
    </w:pPr>
    <w:rPr>
      <w:rFonts w:eastAsia="Times New Roman"/>
      <w:b/>
      <w:szCs w:val="20"/>
    </w:rPr>
  </w:style>
  <w:style w:type="paragraph" w:styleId="Lijstopsomteken2">
    <w:name w:val="List Bullet 2"/>
    <w:basedOn w:val="Standaard"/>
    <w:rsid w:val="00550A65"/>
    <w:pPr>
      <w:numPr>
        <w:numId w:val="29"/>
      </w:numPr>
      <w:spacing w:before="100" w:beforeAutospacing="1" w:after="100" w:afterAutospacing="1" w:line="240" w:lineRule="auto"/>
      <w:jc w:val="both"/>
    </w:pPr>
    <w:rPr>
      <w:rFonts w:eastAsia="Times New Roman"/>
      <w:szCs w:val="20"/>
    </w:rPr>
  </w:style>
  <w:style w:type="paragraph" w:styleId="Lijstopsomteken3">
    <w:name w:val="List Bullet 3"/>
    <w:basedOn w:val="Standaard"/>
    <w:rsid w:val="00550A65"/>
    <w:pPr>
      <w:numPr>
        <w:numId w:val="30"/>
      </w:numPr>
      <w:spacing w:before="100" w:beforeAutospacing="1" w:after="100" w:afterAutospacing="1" w:line="240" w:lineRule="auto"/>
      <w:jc w:val="both"/>
    </w:pPr>
    <w:rPr>
      <w:rFonts w:eastAsia="Times New Roman"/>
      <w:szCs w:val="20"/>
    </w:rPr>
  </w:style>
  <w:style w:type="paragraph" w:styleId="Lijstopsomteken4">
    <w:name w:val="List Bullet 4"/>
    <w:basedOn w:val="Standaard"/>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Standaard"/>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Standaard"/>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Standaard"/>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Standaard"/>
    <w:rsid w:val="00550A65"/>
    <w:pPr>
      <w:numPr>
        <w:numId w:val="35"/>
      </w:numPr>
      <w:spacing w:before="100" w:beforeAutospacing="1" w:after="100" w:afterAutospacing="1" w:line="240" w:lineRule="auto"/>
      <w:jc w:val="both"/>
    </w:pPr>
    <w:rPr>
      <w:rFonts w:eastAsia="Times New Roman"/>
      <w:szCs w:val="20"/>
    </w:rPr>
  </w:style>
  <w:style w:type="paragraph" w:styleId="Lijstnummering">
    <w:name w:val="List Number"/>
    <w:basedOn w:val="Standaard"/>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Standaard"/>
    <w:rsid w:val="00550A65"/>
    <w:pPr>
      <w:numPr>
        <w:numId w:val="37"/>
      </w:numPr>
      <w:spacing w:before="100" w:beforeAutospacing="1" w:after="100" w:afterAutospacing="1" w:line="240" w:lineRule="auto"/>
      <w:jc w:val="both"/>
    </w:pPr>
    <w:rPr>
      <w:rFonts w:eastAsia="Times New Roman"/>
      <w:b/>
      <w:szCs w:val="20"/>
    </w:rPr>
  </w:style>
  <w:style w:type="paragraph" w:styleId="Lijstnummering2">
    <w:name w:val="List Number 2"/>
    <w:basedOn w:val="Standaard"/>
    <w:rsid w:val="00550A65"/>
    <w:pPr>
      <w:numPr>
        <w:numId w:val="38"/>
      </w:numPr>
      <w:spacing w:before="100" w:beforeAutospacing="1" w:after="100" w:afterAutospacing="1" w:line="240" w:lineRule="auto"/>
      <w:jc w:val="both"/>
    </w:pPr>
    <w:rPr>
      <w:rFonts w:eastAsia="Times New Roman"/>
      <w:szCs w:val="20"/>
    </w:rPr>
  </w:style>
  <w:style w:type="paragraph" w:styleId="Lijstnummering3">
    <w:name w:val="List Number 3"/>
    <w:basedOn w:val="Standaard"/>
    <w:rsid w:val="00550A65"/>
    <w:pPr>
      <w:numPr>
        <w:numId w:val="39"/>
      </w:numPr>
      <w:spacing w:before="100" w:beforeAutospacing="1" w:after="100" w:afterAutospacing="1" w:line="240" w:lineRule="auto"/>
      <w:jc w:val="both"/>
    </w:pPr>
    <w:rPr>
      <w:rFonts w:eastAsia="Times New Roman"/>
      <w:szCs w:val="20"/>
    </w:rPr>
  </w:style>
  <w:style w:type="paragraph" w:styleId="Lijstnummering4">
    <w:name w:val="List Number 4"/>
    <w:basedOn w:val="Standaard"/>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Standaard"/>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Standaard"/>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Standaard"/>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Standaard"/>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Standaard"/>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Standaard"/>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Standaard"/>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Standaard"/>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Standaard"/>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Standaard"/>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Standaard"/>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Standaard"/>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Standaard"/>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Standaard"/>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Standaard"/>
    <w:rsid w:val="00550A65"/>
    <w:pPr>
      <w:numPr>
        <w:ilvl w:val="3"/>
        <w:numId w:val="40"/>
      </w:numPr>
      <w:spacing w:before="100" w:beforeAutospacing="1" w:after="100" w:afterAutospacing="1" w:line="240" w:lineRule="auto"/>
      <w:jc w:val="both"/>
    </w:pPr>
    <w:rPr>
      <w:rFonts w:eastAsia="Times New Roman"/>
      <w:szCs w:val="20"/>
    </w:rPr>
  </w:style>
  <w:style w:type="paragraph" w:styleId="Inhopg5">
    <w:name w:val="toc 5"/>
    <w:basedOn w:val="Standaard"/>
    <w:next w:val="Standaard"/>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Kopvaninhoudsopgave">
    <w:name w:val="TOC Heading"/>
    <w:basedOn w:val="Standaard"/>
    <w:next w:val="Standaard"/>
    <w:uiPriority w:val="39"/>
    <w:qFormat/>
    <w:rsid w:val="00550A65"/>
    <w:pPr>
      <w:keepNext/>
      <w:spacing w:before="240" w:beforeAutospacing="1" w:after="100" w:afterAutospacing="1" w:line="240" w:lineRule="auto"/>
      <w:jc w:val="center"/>
    </w:pPr>
    <w:rPr>
      <w:rFonts w:eastAsia="Times New Roman"/>
      <w:b/>
      <w:szCs w:val="20"/>
    </w:rPr>
  </w:style>
  <w:style w:type="paragraph" w:styleId="Inhopg1">
    <w:name w:val="toc 1"/>
    <w:basedOn w:val="Standaard"/>
    <w:next w:val="Standaard"/>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Inhopg2">
    <w:name w:val="toc 2"/>
    <w:basedOn w:val="Standaard"/>
    <w:next w:val="Standaard"/>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Inhopg3">
    <w:name w:val="toc 3"/>
    <w:basedOn w:val="Standaard"/>
    <w:next w:val="Standaard"/>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Inhopg4">
    <w:name w:val="toc 4"/>
    <w:basedOn w:val="Standaard"/>
    <w:next w:val="Standaard"/>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Inhopg6">
    <w:name w:val="toc 6"/>
    <w:basedOn w:val="Standaard"/>
    <w:next w:val="Standaard"/>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Inhopg7">
    <w:name w:val="toc 7"/>
    <w:basedOn w:val="Standaard"/>
    <w:next w:val="Standaard"/>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Inhopg8">
    <w:name w:val="toc 8"/>
    <w:basedOn w:val="Standaard"/>
    <w:next w:val="Standaard"/>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Inhopg9">
    <w:name w:val="toc 9"/>
    <w:basedOn w:val="Standaard"/>
    <w:next w:val="Standaard"/>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Bijschrift">
    <w:name w:val="caption"/>
    <w:basedOn w:val="Standaard"/>
    <w:next w:val="Standaard"/>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Ondertitel">
    <w:name w:val="Subtitle"/>
    <w:basedOn w:val="Standaard"/>
    <w:next w:val="Standaard"/>
    <w:link w:val="Ondertitel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OndertitelChar">
    <w:name w:val="Ondertitel Char"/>
    <w:link w:val="Ondertitel"/>
    <w:uiPriority w:val="11"/>
    <w:rsid w:val="00550A65"/>
    <w:rPr>
      <w:rFonts w:ascii="Cambria" w:eastAsia="Times New Roman" w:hAnsi="Cambria"/>
      <w:sz w:val="24"/>
      <w:szCs w:val="22"/>
    </w:rPr>
  </w:style>
  <w:style w:type="character" w:styleId="Zwaar">
    <w:name w:val="Strong"/>
    <w:uiPriority w:val="22"/>
    <w:qFormat/>
    <w:rsid w:val="00550A65"/>
    <w:rPr>
      <w:b/>
      <w:color w:val="C0504D"/>
    </w:rPr>
  </w:style>
  <w:style w:type="paragraph" w:styleId="Geenafstand">
    <w:name w:val="No Spacing"/>
    <w:basedOn w:val="Standaard"/>
    <w:link w:val="Geenafstand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GeenafstandChar">
    <w:name w:val="Geen afstand Char"/>
    <w:link w:val="Geenafstand"/>
    <w:uiPriority w:val="1"/>
    <w:rsid w:val="00550A65"/>
    <w:rPr>
      <w:rFonts w:ascii="Times New Roman" w:eastAsia="Times New Roman" w:hAnsi="Times New Roman"/>
      <w:sz w:val="24"/>
    </w:rPr>
  </w:style>
  <w:style w:type="paragraph" w:styleId="Citaat">
    <w:name w:val="Quote"/>
    <w:basedOn w:val="Standaard"/>
    <w:next w:val="Standaard"/>
    <w:link w:val="Citaat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CitaatChar">
    <w:name w:val="Citaat Char"/>
    <w:link w:val="Citaat"/>
    <w:uiPriority w:val="29"/>
    <w:rsid w:val="00550A65"/>
    <w:rPr>
      <w:rFonts w:ascii="Times New Roman" w:eastAsia="Times New Roman" w:hAnsi="Times New Roman"/>
      <w:i/>
      <w:sz w:val="24"/>
    </w:rPr>
  </w:style>
  <w:style w:type="paragraph" w:styleId="Duidelijkcitaat">
    <w:name w:val="Intense Quote"/>
    <w:basedOn w:val="Standaard"/>
    <w:next w:val="Standaard"/>
    <w:link w:val="Duidelijkcitaat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DuidelijkcitaatChar">
    <w:name w:val="Duidelijk citaat Char"/>
    <w:link w:val="Duidelijkcitaat"/>
    <w:uiPriority w:val="30"/>
    <w:rsid w:val="00550A65"/>
    <w:rPr>
      <w:rFonts w:ascii="Times New Roman" w:eastAsia="Times New Roman" w:hAnsi="Times New Roman"/>
      <w:b/>
      <w:i/>
      <w:color w:val="FFFFFF"/>
      <w:sz w:val="24"/>
      <w:shd w:val="clear" w:color="auto" w:fill="C0504D"/>
    </w:rPr>
  </w:style>
  <w:style w:type="character" w:styleId="Subtielebenadrukking">
    <w:name w:val="Subtle Emphasis"/>
    <w:uiPriority w:val="19"/>
    <w:rsid w:val="00550A65"/>
    <w:rPr>
      <w:i/>
    </w:rPr>
  </w:style>
  <w:style w:type="character" w:styleId="Intensievebenadrukking">
    <w:name w:val="Intense Emphasis"/>
    <w:uiPriority w:val="21"/>
    <w:rsid w:val="00550A65"/>
    <w:rPr>
      <w:b/>
      <w:i/>
      <w:color w:val="C0504D"/>
      <w:spacing w:val="10"/>
    </w:rPr>
  </w:style>
  <w:style w:type="character" w:styleId="Subtieleverwijzing">
    <w:name w:val="Subtle Reference"/>
    <w:uiPriority w:val="31"/>
    <w:rsid w:val="00550A65"/>
    <w:rPr>
      <w:b/>
    </w:rPr>
  </w:style>
  <w:style w:type="character" w:styleId="Intensieveverwijzing">
    <w:name w:val="Intense Reference"/>
    <w:uiPriority w:val="32"/>
    <w:rsid w:val="00550A65"/>
    <w:rPr>
      <w:b/>
      <w:bCs/>
      <w:smallCaps/>
      <w:spacing w:val="5"/>
      <w:sz w:val="22"/>
      <w:szCs w:val="22"/>
      <w:u w:val="single"/>
    </w:rPr>
  </w:style>
  <w:style w:type="character" w:styleId="Titelvanboek">
    <w:name w:val="Book Title"/>
    <w:uiPriority w:val="33"/>
    <w:rsid w:val="00550A65"/>
    <w:rPr>
      <w:rFonts w:ascii="Cambria" w:eastAsia="Times New Roman" w:hAnsi="Cambria" w:cs="Times New Roman"/>
      <w:i/>
      <w:iCs/>
      <w:sz w:val="20"/>
      <w:szCs w:val="20"/>
    </w:rPr>
  </w:style>
  <w:style w:type="table" w:styleId="Tabelraster">
    <w:name w:val="Table Grid"/>
    <w:basedOn w:val="Standaardtabe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Standaard"/>
    <w:link w:val="Voetnootmarkering"/>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Create a new document." ma:contentTypeScope="" ma:versionID="e7058ef57ff79f72c66e4ad4ef4fb45e">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53c2c813871a447e43c0bb8a171d1eb7"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580E5-07F2-4206-B393-4B740BDAAD1F}">
  <ds:schemaRefs>
    <ds:schemaRef ds:uri="http://schemas.openxmlformats.org/officeDocument/2006/bibliography"/>
  </ds:schemaRefs>
</ds:datastoreItem>
</file>

<file path=customXml/itemProps2.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3.xml><?xml version="1.0" encoding="utf-8"?>
<ds:datastoreItem xmlns:ds="http://schemas.openxmlformats.org/officeDocument/2006/customXml" ds:itemID="{3F7495EA-A5A4-472C-AF89-D6AFAEB8452B}">
  <ds:schemaRefs>
    <ds:schemaRef ds:uri="http://purl.org/dc/elements/1.1/"/>
    <ds:schemaRef ds:uri="http://schemas.microsoft.com/office/2006/metadata/propertie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1C6465-F4F7-42DB-B855-597D056A5016}"/>
</file>

<file path=docProps/app.xml><?xml version="1.0" encoding="utf-8"?>
<Properties xmlns="http://schemas.openxmlformats.org/officeDocument/2006/extended-properties" xmlns:vt="http://schemas.openxmlformats.org/officeDocument/2006/docPropsVTypes">
  <Template>Normal</Template>
  <TotalTime>0</TotalTime>
  <Pages>6</Pages>
  <Words>13086</Words>
  <Characters>71975</Characters>
  <Application>Microsoft Office Word</Application>
  <DocSecurity>0</DocSecurity>
  <Lines>599</Lines>
  <Paragraphs>169</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84892</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Beld, Stefanie van de</cp:lastModifiedBy>
  <cp:revision>2</cp:revision>
  <cp:lastPrinted>2019-04-12T06:32:00Z</cp:lastPrinted>
  <dcterms:created xsi:type="dcterms:W3CDTF">2021-10-21T09:31:00Z</dcterms:created>
  <dcterms:modified xsi:type="dcterms:W3CDTF">2021-10-21T09:31:00Z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0x010100C003D2B8CD5C8C4FA07974CBBB92928A</vt:lpwstr>
  </property>
  <property fmtid="{D5CDD505-2E9C-101B-9397-08002B2CF9AE}" pid="4" name="Order">
    <vt:r8>32600</vt:r8>
  </property>
</Properties>
</file>