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52ED5A4A" w:rsidR="00B87EEB" w:rsidRDefault="0062612F">
          <w:pPr>
            <w:pStyle w:val="Inhopg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3B9E37BC" w:rsidR="00B87EEB" w:rsidRDefault="00E662C6">
          <w:pPr>
            <w:pStyle w:val="Inhopg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714C97FF" w:rsidR="00B87EEB" w:rsidRDefault="00E662C6">
          <w:pPr>
            <w:pStyle w:val="Inhopg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4D805F7" w:rsidR="00B87EEB" w:rsidRDefault="00E662C6">
          <w:pPr>
            <w:pStyle w:val="Inhopg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3379493B" w:rsidR="00B87EEB" w:rsidRDefault="00E662C6">
          <w:pPr>
            <w:pStyle w:val="Inhopg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502E5B60" w:rsidR="00B87EEB" w:rsidRDefault="00E662C6">
          <w:pPr>
            <w:pStyle w:val="Inhopg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6AAB1F3D" w:rsidR="00B87EEB" w:rsidRDefault="00E662C6">
          <w:pPr>
            <w:pStyle w:val="Inhopg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302B24E8" w:rsidR="00B20DB0" w:rsidRPr="008D0369" w:rsidRDefault="00B20DB0" w:rsidP="00087269">
      <w:pPr>
        <w:pStyle w:val="Lijstalinea"/>
        <w:numPr>
          <w:ilvl w:val="0"/>
          <w:numId w:val="46"/>
        </w:numPr>
        <w:tabs>
          <w:tab w:val="clear" w:pos="0"/>
          <w:tab w:val="num" w:pos="284"/>
        </w:tabs>
        <w:ind w:left="426" w:hanging="284"/>
        <w:jc w:val="both"/>
        <w:rPr>
          <w:rFonts w:ascii="Times New Roman" w:hAnsi="Times New Roman" w:cs="Times New Roman"/>
          <w:b/>
          <w:bCs/>
          <w:sz w:val="24"/>
          <w:szCs w:val="24"/>
          <w:u w:val="single"/>
          <w:lang w:val="en-US"/>
        </w:rPr>
      </w:pPr>
      <w:r w:rsidRPr="008D0369">
        <w:rPr>
          <w:rFonts w:ascii="Times New Roman" w:hAnsi="Times New Roman" w:cs="Times New Roman"/>
          <w:b/>
          <w:bCs/>
          <w:u w:val="single"/>
        </w:rPr>
        <w:t>Travel</w:t>
      </w:r>
      <w:r w:rsidR="00C454E8" w:rsidRPr="008D0369">
        <w:rPr>
          <w:rFonts w:ascii="Times New Roman" w:hAnsi="Times New Roman" w:cs="Times New Roman"/>
          <w:b/>
          <w:bCs/>
          <w:u w:val="single"/>
        </w:rPr>
        <w:t xml:space="preserve"> Support</w:t>
      </w:r>
    </w:p>
    <w:p w14:paraId="0C70316E" w14:textId="77777777" w:rsidR="00B20DB0" w:rsidRDefault="00B20DB0">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60596686" w:rsidR="00B20DB0" w:rsidRPr="00087269" w:rsidRDefault="00B20DB0" w:rsidP="001F5D9A">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boat),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20B75ACC" w14:textId="483F960F" w:rsidR="00B20DB0" w:rsidRDefault="00990FDB" w:rsidP="0051078E">
      <w:pPr>
        <w:pStyle w:val="Lijstalinea"/>
        <w:ind w:left="567"/>
        <w:jc w:val="both"/>
        <w:rPr>
          <w:rFonts w:ascii="Times New Roman" w:eastAsia="Times New Roman" w:hAnsi="Times New Roman"/>
          <w:color w:val="000000"/>
          <w:sz w:val="24"/>
          <w:szCs w:val="24"/>
        </w:rPr>
      </w:pPr>
      <w:r w:rsidRPr="00990FDB">
        <w:rPr>
          <w:rFonts w:ascii="Times New Roman" w:eastAsia="Times New Roman" w:hAnsi="Times New Roman"/>
          <w:color w:val="000000"/>
          <w:sz w:val="24"/>
          <w:szCs w:val="24"/>
        </w:rPr>
        <w:t>Unit contributions for travel are applicable for any staff mobility</w:t>
      </w:r>
      <w:r>
        <w:rPr>
          <w:rFonts w:ascii="Times New Roman" w:eastAsia="Times New Roman" w:hAnsi="Times New Roman"/>
          <w:color w:val="000000"/>
          <w:sz w:val="24"/>
          <w:szCs w:val="24"/>
        </w:rPr>
        <w:t>. F</w:t>
      </w:r>
      <w:r w:rsidR="00B20DB0" w:rsidRPr="00990FDB">
        <w:rPr>
          <w:rFonts w:ascii="Times New Roman" w:eastAsia="Times New Roman" w:hAnsi="Times New Roman"/>
          <w:color w:val="000000"/>
          <w:sz w:val="24"/>
          <w:szCs w:val="24"/>
        </w:rPr>
        <w:t>or</w:t>
      </w:r>
      <w:r w:rsidR="00B20DB0" w:rsidRPr="00AD5548">
        <w:rPr>
          <w:rFonts w:ascii="Times New Roman" w:eastAsia="Times New Roman" w:hAnsi="Times New Roman"/>
          <w:color w:val="000000"/>
          <w:sz w:val="24"/>
          <w:szCs w:val="24"/>
        </w:rPr>
        <w:t xml:space="preserve"> student</w:t>
      </w:r>
      <w:r w:rsidR="00B20DB0" w:rsidRPr="006770A0">
        <w:rPr>
          <w:rFonts w:ascii="Times New Roman" w:eastAsia="Times New Roman" w:hAnsi="Times New Roman"/>
          <w:color w:val="000000"/>
          <w:sz w:val="24"/>
          <w:szCs w:val="24"/>
        </w:rPr>
        <w:t xml:space="preserve"> mobility, unit contributions for travel are applicable </w:t>
      </w:r>
      <w:r w:rsidR="000271B5">
        <w:rPr>
          <w:rFonts w:ascii="Times New Roman" w:eastAsia="Times New Roman" w:hAnsi="Times New Roman"/>
          <w:color w:val="000000"/>
          <w:sz w:val="24"/>
          <w:szCs w:val="24"/>
        </w:rPr>
        <w:t xml:space="preserve">a) </w:t>
      </w:r>
      <w:r w:rsidR="00B20DB0" w:rsidRPr="006770A0">
        <w:rPr>
          <w:rFonts w:ascii="Times New Roman" w:eastAsia="Times New Roman" w:hAnsi="Times New Roman"/>
          <w:color w:val="000000"/>
          <w:sz w:val="24"/>
          <w:szCs w:val="24"/>
        </w:rPr>
        <w:t xml:space="preserve">for sending institutions from </w:t>
      </w:r>
      <w:r w:rsidR="00B20DB0" w:rsidRPr="006770A0">
        <w:rPr>
          <w:rFonts w:ascii="Times New Roman" w:eastAsia="Times New Roman" w:hAnsi="Times New Roman"/>
          <w:color w:val="000000"/>
          <w:sz w:val="24"/>
          <w:szCs w:val="24"/>
        </w:rPr>
        <w:lastRenderedPageBreak/>
        <w:t>outermost Programme countries and regions (outermost regions, Cyprus, Iceland, Malta</w:t>
      </w:r>
      <w:r w:rsidR="00413255">
        <w:rPr>
          <w:rFonts w:ascii="Times New Roman" w:eastAsia="Times New Roman" w:hAnsi="Times New Roman"/>
          <w:color w:val="000000"/>
          <w:sz w:val="24"/>
          <w:szCs w:val="24"/>
        </w:rPr>
        <w:t>)</w:t>
      </w:r>
      <w:r w:rsidR="00B20DB0" w:rsidRPr="006770A0">
        <w:rPr>
          <w:rFonts w:ascii="Times New Roman" w:eastAsia="Times New Roman" w:hAnsi="Times New Roman"/>
          <w:color w:val="000000"/>
          <w:sz w:val="24"/>
          <w:szCs w:val="24"/>
        </w:rPr>
        <w:t xml:space="preserve"> and Overseas Countries and Territories</w:t>
      </w:r>
      <w:r w:rsidR="00560563">
        <w:rPr>
          <w:rFonts w:ascii="Times New Roman" w:eastAsia="Times New Roman" w:hAnsi="Times New Roman"/>
          <w:color w:val="000000"/>
          <w:sz w:val="24"/>
          <w:szCs w:val="24"/>
        </w:rPr>
        <w:t xml:space="preserve">, </w:t>
      </w:r>
      <w:r w:rsidR="000271B5">
        <w:rPr>
          <w:rFonts w:ascii="Times New Roman" w:eastAsia="Times New Roman" w:hAnsi="Times New Roman"/>
          <w:color w:val="000000"/>
          <w:sz w:val="24"/>
          <w:szCs w:val="24"/>
        </w:rPr>
        <w:t xml:space="preserve">b) </w:t>
      </w:r>
      <w:r w:rsidR="00560563">
        <w:rPr>
          <w:rFonts w:ascii="Times New Roman" w:eastAsia="Times New Roman" w:hAnsi="Times New Roman"/>
          <w:color w:val="000000"/>
          <w:sz w:val="24"/>
          <w:szCs w:val="24"/>
        </w:rPr>
        <w:t xml:space="preserve">for participants with fewer opportunities on short-term student mobility and </w:t>
      </w:r>
      <w:r w:rsidR="000271B5">
        <w:rPr>
          <w:rFonts w:ascii="Times New Roman" w:eastAsia="Times New Roman" w:hAnsi="Times New Roman"/>
          <w:color w:val="000000"/>
          <w:sz w:val="24"/>
          <w:szCs w:val="24"/>
        </w:rPr>
        <w:t xml:space="preserve">c) </w:t>
      </w:r>
      <w:r w:rsidR="00560563">
        <w:rPr>
          <w:rFonts w:ascii="Times New Roman" w:eastAsia="Times New Roman" w:hAnsi="Times New Roman"/>
          <w:color w:val="000000"/>
          <w:sz w:val="24"/>
          <w:szCs w:val="24"/>
        </w:rPr>
        <w:t>for participants going to Partner Countries</w:t>
      </w:r>
      <w:r w:rsidR="00C97362">
        <w:rPr>
          <w:rFonts w:ascii="Times New Roman" w:eastAsia="Times New Roman" w:hAnsi="Times New Roman"/>
          <w:color w:val="000000"/>
          <w:sz w:val="24"/>
          <w:szCs w:val="24"/>
        </w:rPr>
        <w:t xml:space="preserve"> </w:t>
      </w:r>
      <w:r w:rsidR="00C97362" w:rsidRPr="00087269">
        <w:rPr>
          <w:rFonts w:ascii="Times New Roman" w:eastAsia="Times New Roman" w:hAnsi="Times New Roman" w:cs="Times New Roman"/>
          <w:sz w:val="24"/>
          <w:szCs w:val="24"/>
          <w:lang w:eastAsia="en-GB"/>
        </w:rPr>
        <w:t>except to Partner Countries from Regions 5 and 14</w:t>
      </w:r>
      <w:r w:rsidR="00B20DB0" w:rsidRPr="006770A0">
        <w:rPr>
          <w:rFonts w:ascii="Times New Roman" w:eastAsia="Times New Roman" w:hAnsi="Times New Roman"/>
          <w:color w:val="000000"/>
          <w:sz w:val="24"/>
          <w:szCs w:val="24"/>
        </w:rPr>
        <w:t>.</w:t>
      </w:r>
      <w:r w:rsidR="00560563">
        <w:rPr>
          <w:rFonts w:ascii="Times New Roman" w:eastAsia="Times New Roman" w:hAnsi="Times New Roman"/>
          <w:color w:val="000000"/>
          <w:sz w:val="24"/>
          <w:szCs w:val="24"/>
        </w:rPr>
        <w:t xml:space="preserve"> In the latter case</w:t>
      </w:r>
      <w:r w:rsidR="006228FF">
        <w:rPr>
          <w:rFonts w:ascii="Times New Roman" w:eastAsia="Times New Roman" w:hAnsi="Times New Roman"/>
          <w:color w:val="000000"/>
          <w:sz w:val="24"/>
          <w:szCs w:val="24"/>
        </w:rPr>
        <w:t xml:space="preserve"> c)</w:t>
      </w:r>
      <w:r w:rsidR="00560563">
        <w:rPr>
          <w:rFonts w:ascii="Times New Roman" w:eastAsia="Times New Roman" w:hAnsi="Times New Roman"/>
          <w:color w:val="000000"/>
          <w:sz w:val="24"/>
          <w:szCs w:val="24"/>
        </w:rPr>
        <w:t>, beneficiaries may decide not to provide a travel unit contribution</w:t>
      </w:r>
      <w:r w:rsidR="00C97362">
        <w:rPr>
          <w:rFonts w:ascii="Times New Roman" w:eastAsia="Times New Roman" w:hAnsi="Times New Roman"/>
          <w:color w:val="000000"/>
          <w:sz w:val="24"/>
          <w:szCs w:val="24"/>
        </w:rPr>
        <w:t>, ex</w:t>
      </w:r>
      <w:r w:rsidR="006228FF">
        <w:rPr>
          <w:rFonts w:ascii="Times New Roman" w:eastAsia="Times New Roman" w:hAnsi="Times New Roman"/>
          <w:color w:val="000000"/>
          <w:sz w:val="24"/>
          <w:szCs w:val="24"/>
        </w:rPr>
        <w:t>cept for participants with fewer opportunities</w:t>
      </w:r>
      <w:r w:rsidR="000271B5">
        <w:rPr>
          <w:rFonts w:ascii="Times New Roman" w:eastAsia="Times New Roman" w:hAnsi="Times New Roman"/>
          <w:color w:val="000000"/>
          <w:sz w:val="24"/>
          <w:szCs w:val="24"/>
        </w:rPr>
        <w:t>. The criteria for the non-provision have to be fair</w:t>
      </w:r>
      <w:r w:rsidR="00B24142">
        <w:rPr>
          <w:rFonts w:ascii="Times New Roman" w:eastAsia="Times New Roman" w:hAnsi="Times New Roman"/>
          <w:color w:val="000000"/>
          <w:sz w:val="24"/>
          <w:szCs w:val="24"/>
        </w:rPr>
        <w:t xml:space="preserve"> (ensuring equal treatment)</w:t>
      </w:r>
      <w:r w:rsidR="000271B5">
        <w:rPr>
          <w:rFonts w:ascii="Times New Roman" w:eastAsia="Times New Roman" w:hAnsi="Times New Roman"/>
          <w:color w:val="000000"/>
          <w:sz w:val="24"/>
          <w:szCs w:val="24"/>
        </w:rPr>
        <w:t>, transparent, documented and published</w:t>
      </w:r>
      <w:r w:rsidR="00B24142">
        <w:rPr>
          <w:rFonts w:ascii="Times New Roman" w:eastAsia="Times New Roman" w:hAnsi="Times New Roman"/>
          <w:color w:val="000000"/>
          <w:sz w:val="24"/>
          <w:szCs w:val="24"/>
        </w:rPr>
        <w:t xml:space="preserve"> on the institution’s website</w:t>
      </w:r>
      <w:r w:rsidR="000271B5">
        <w:rPr>
          <w:rFonts w:ascii="Times New Roman" w:eastAsia="Times New Roman" w:hAnsi="Times New Roman"/>
          <w:color w:val="000000"/>
          <w:sz w:val="24"/>
          <w:szCs w:val="24"/>
        </w:rPr>
        <w:t>.</w:t>
      </w:r>
    </w:p>
    <w:p w14:paraId="39BE67CD" w14:textId="77777777" w:rsidR="00F2376B" w:rsidRDefault="00F2376B" w:rsidP="008D0369">
      <w:pPr>
        <w:spacing w:after="0"/>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E662C6"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6E0EB3B4"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4510E59E" w14:textId="77777777" w:rsidR="00F6148E" w:rsidRDefault="00F6148E" w:rsidP="008D0369">
      <w:pPr>
        <w:spacing w:after="0" w:line="100" w:lineRule="atLeast"/>
        <w:ind w:left="502"/>
        <w:jc w:val="both"/>
        <w:rPr>
          <w:rFonts w:ascii="Times New Roman" w:hAnsi="Times New Roman"/>
          <w:sz w:val="24"/>
          <w:szCs w:val="24"/>
        </w:rPr>
      </w:pPr>
    </w:p>
    <w:p w14:paraId="6CF39FDD" w14:textId="4A5D32A3" w:rsidR="0075704F" w:rsidRDefault="00B20DB0" w:rsidP="008D0369">
      <w:pPr>
        <w:tabs>
          <w:tab w:val="left" w:pos="709"/>
        </w:tabs>
        <w:jc w:val="both"/>
        <w:rPr>
          <w:rFonts w:ascii="Times New Roman" w:eastAsia="Times New Roman" w:hAnsi="Times New Roman"/>
          <w:color w:val="000000"/>
          <w:sz w:val="24"/>
          <w:szCs w:val="24"/>
        </w:rPr>
      </w:pPr>
      <w:r w:rsidRPr="00F3300A">
        <w:rPr>
          <w:rFonts w:ascii="Times New Roman" w:eastAsia="Times New Roman" w:hAnsi="Times New Roman"/>
          <w:color w:val="000000"/>
          <w:sz w:val="24"/>
          <w:szCs w:val="24"/>
        </w:rPr>
        <w:t>(c)</w:t>
      </w:r>
      <w:r w:rsidR="00F6148E">
        <w:rPr>
          <w:rFonts w:ascii="Times New Roman" w:eastAsia="Times New Roman" w:hAnsi="Times New Roman"/>
          <w:color w:val="000000"/>
          <w:sz w:val="24"/>
          <w:szCs w:val="24"/>
        </w:rPr>
        <w:t xml:space="preserve">    </w:t>
      </w:r>
      <w:r w:rsidR="0075704F">
        <w:rPr>
          <w:rFonts w:ascii="Times New Roman" w:eastAsia="Times New Roman" w:hAnsi="Times New Roman"/>
          <w:color w:val="000000"/>
          <w:sz w:val="24"/>
          <w:szCs w:val="24"/>
        </w:rPr>
        <w:t>Supporting documents for staff</w:t>
      </w:r>
      <w:r w:rsidR="0075704F" w:rsidRPr="0075704F">
        <w:rPr>
          <w:rFonts w:ascii="Times New Roman" w:eastAsia="Times New Roman" w:hAnsi="Times New Roman"/>
          <w:color w:val="000000"/>
          <w:sz w:val="24"/>
          <w:szCs w:val="24"/>
        </w:rPr>
        <w:t>: Proof of attendance of the activity in the form of a</w:t>
      </w:r>
      <w:r w:rsidR="00F6148E">
        <w:rPr>
          <w:rFonts w:ascii="Times New Roman" w:eastAsia="Times New Roman" w:hAnsi="Times New Roman"/>
          <w:color w:val="000000"/>
          <w:sz w:val="24"/>
          <w:szCs w:val="24"/>
        </w:rPr>
        <w:br/>
        <w:t xml:space="preserve">      </w:t>
      </w:r>
      <w:r w:rsidR="0075704F" w:rsidRPr="0075704F">
        <w:rPr>
          <w:rFonts w:ascii="Times New Roman" w:eastAsia="Times New Roman" w:hAnsi="Times New Roman"/>
          <w:color w:val="000000"/>
          <w:sz w:val="24"/>
          <w:szCs w:val="24"/>
        </w:rPr>
        <w:t xml:space="preserve"> </w:t>
      </w:r>
      <w:r w:rsidR="00F6148E">
        <w:rPr>
          <w:rFonts w:ascii="Times New Roman" w:eastAsia="Times New Roman" w:hAnsi="Times New Roman"/>
          <w:color w:val="000000"/>
          <w:sz w:val="24"/>
          <w:szCs w:val="24"/>
        </w:rPr>
        <w:t xml:space="preserve">  </w:t>
      </w:r>
      <w:r w:rsidR="0075704F" w:rsidRPr="0075704F">
        <w:rPr>
          <w:rFonts w:ascii="Times New Roman" w:eastAsia="Times New Roman" w:hAnsi="Times New Roman"/>
          <w:color w:val="000000"/>
          <w:sz w:val="24"/>
          <w:szCs w:val="24"/>
        </w:rPr>
        <w:t>declaration signed by the receiving organisation</w:t>
      </w:r>
      <w:r w:rsidR="00794FDD">
        <w:rPr>
          <w:rFonts w:ascii="Times New Roman" w:eastAsia="Times New Roman" w:hAnsi="Times New Roman"/>
          <w:color w:val="000000"/>
          <w:sz w:val="24"/>
          <w:szCs w:val="24"/>
        </w:rPr>
        <w:t>,</w:t>
      </w:r>
      <w:r w:rsidR="00794FDD" w:rsidRPr="00794FDD">
        <w:rPr>
          <w:rFonts w:ascii="Times New Roman" w:hAnsi="Times New Roman"/>
          <w:sz w:val="24"/>
          <w:szCs w:val="24"/>
        </w:rPr>
        <w:t xml:space="preserve"> </w:t>
      </w:r>
      <w:r w:rsidR="00794FDD">
        <w:rPr>
          <w:rFonts w:ascii="Times New Roman" w:hAnsi="Times New Roman"/>
          <w:sz w:val="24"/>
          <w:szCs w:val="24"/>
        </w:rPr>
        <w:t>covering also the virtual</w:t>
      </w:r>
      <w:r w:rsidR="00F6148E">
        <w:rPr>
          <w:rFonts w:ascii="Times New Roman" w:hAnsi="Times New Roman"/>
          <w:sz w:val="24"/>
          <w:szCs w:val="24"/>
        </w:rPr>
        <w:br/>
        <w:t xml:space="preserve">        </w:t>
      </w:r>
      <w:r w:rsidR="00794FDD">
        <w:rPr>
          <w:rFonts w:ascii="Times New Roman" w:hAnsi="Times New Roman"/>
          <w:sz w:val="24"/>
          <w:szCs w:val="24"/>
        </w:rPr>
        <w:t xml:space="preserve"> components in case of blended mobility</w:t>
      </w:r>
      <w:r w:rsidR="0075704F" w:rsidRPr="0075704F">
        <w:rPr>
          <w:rFonts w:ascii="Times New Roman" w:eastAsia="Times New Roman" w:hAnsi="Times New Roman"/>
          <w:color w:val="000000"/>
          <w:sz w:val="24"/>
          <w:szCs w:val="24"/>
        </w:rPr>
        <w:t xml:space="preserve">, and specifying the name of the participant, </w:t>
      </w:r>
      <w:r w:rsidR="00F6148E">
        <w:rPr>
          <w:rFonts w:ascii="Times New Roman" w:eastAsia="Times New Roman" w:hAnsi="Times New Roman"/>
          <w:color w:val="000000"/>
          <w:sz w:val="24"/>
          <w:szCs w:val="24"/>
        </w:rPr>
        <w:br/>
        <w:t xml:space="preserve">         </w:t>
      </w:r>
      <w:r w:rsidR="0075704F" w:rsidRPr="0075704F">
        <w:rPr>
          <w:rFonts w:ascii="Times New Roman" w:eastAsia="Times New Roman" w:hAnsi="Times New Roman"/>
          <w:color w:val="000000"/>
          <w:sz w:val="24"/>
          <w:szCs w:val="24"/>
        </w:rPr>
        <w:t>the purpose of the activity, as well as i</w:t>
      </w:r>
      <w:r w:rsidR="0075704F">
        <w:rPr>
          <w:rFonts w:ascii="Times New Roman" w:eastAsia="Times New Roman" w:hAnsi="Times New Roman"/>
          <w:color w:val="000000"/>
          <w:sz w:val="24"/>
          <w:szCs w:val="24"/>
        </w:rPr>
        <w:t xml:space="preserve">ts </w:t>
      </w:r>
      <w:r w:rsidR="001C2C12">
        <w:rPr>
          <w:rFonts w:ascii="Times New Roman" w:eastAsia="Times New Roman" w:hAnsi="Times New Roman"/>
          <w:color w:val="000000"/>
          <w:sz w:val="24"/>
          <w:szCs w:val="24"/>
        </w:rPr>
        <w:t xml:space="preserve">confirmed </w:t>
      </w:r>
      <w:r w:rsidR="0075704F">
        <w:rPr>
          <w:rFonts w:ascii="Times New Roman" w:eastAsia="Times New Roman" w:hAnsi="Times New Roman"/>
          <w:color w:val="000000"/>
          <w:sz w:val="24"/>
          <w:szCs w:val="24"/>
        </w:rPr>
        <w:t>starting and end date</w:t>
      </w:r>
      <w:r w:rsidR="002865E5">
        <w:rPr>
          <w:rFonts w:ascii="Times New Roman" w:eastAsia="Times New Roman" w:hAnsi="Times New Roman"/>
          <w:color w:val="000000"/>
          <w:sz w:val="24"/>
          <w:szCs w:val="24"/>
        </w:rPr>
        <w:t xml:space="preserve"> of the </w:t>
      </w:r>
      <w:r w:rsidR="00F6148E">
        <w:rPr>
          <w:rFonts w:ascii="Times New Roman" w:eastAsia="Times New Roman" w:hAnsi="Times New Roman"/>
          <w:color w:val="000000"/>
          <w:sz w:val="24"/>
          <w:szCs w:val="24"/>
        </w:rPr>
        <w:br/>
        <w:t xml:space="preserve">         </w:t>
      </w:r>
      <w:r w:rsidR="002865E5">
        <w:rPr>
          <w:rFonts w:ascii="Times New Roman" w:eastAsia="Times New Roman" w:hAnsi="Times New Roman"/>
          <w:color w:val="000000"/>
          <w:sz w:val="24"/>
          <w:szCs w:val="24"/>
        </w:rPr>
        <w:t>physical mobility activity</w:t>
      </w:r>
      <w:r w:rsidR="0075704F">
        <w:rPr>
          <w:rFonts w:ascii="Times New Roman" w:eastAsia="Times New Roman" w:hAnsi="Times New Roman"/>
          <w:color w:val="000000"/>
          <w:sz w:val="24"/>
          <w:szCs w:val="24"/>
        </w:rPr>
        <w:t>.</w:t>
      </w:r>
    </w:p>
    <w:p w14:paraId="75E25C65" w14:textId="3100A1C1" w:rsidR="00B20DB0" w:rsidRDefault="0075704F" w:rsidP="00BC7854">
      <w:pPr>
        <w:tabs>
          <w:tab w:val="left" w:pos="709"/>
        </w:tabs>
        <w:ind w:left="709" w:hanging="567"/>
        <w:jc w:val="both"/>
        <w:rPr>
          <w:rFonts w:ascii="Times New Roman" w:hAnsi="Times New Roman"/>
          <w:sz w:val="24"/>
          <w:szCs w:val="24"/>
        </w:rPr>
      </w:pPr>
      <w:r>
        <w:rPr>
          <w:rFonts w:ascii="Times New Roman" w:eastAsia="Times New Roman" w:hAnsi="Times New Roman"/>
          <w:color w:val="000000"/>
          <w:sz w:val="24"/>
          <w:szCs w:val="24"/>
        </w:rPr>
        <w:tab/>
      </w:r>
      <w:r w:rsidR="00B20DB0"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00B20DB0" w:rsidRPr="00F3300A">
        <w:rPr>
          <w:rFonts w:ascii="Times New Roman" w:eastAsia="Times New Roman" w:hAnsi="Times New Roman"/>
          <w:color w:val="000000"/>
          <w:sz w:val="24"/>
          <w:szCs w:val="24"/>
        </w:rPr>
        <w:t>evidence issued by the</w:t>
      </w:r>
      <w:r w:rsidR="00B20DB0">
        <w:rPr>
          <w:rFonts w:ascii="Times New Roman" w:hAnsi="Times New Roman"/>
          <w:sz w:val="24"/>
          <w:szCs w:val="24"/>
        </w:rPr>
        <w:t xml:space="preserve"> receiving organisation</w:t>
      </w:r>
      <w:r w:rsidR="00794FDD">
        <w:rPr>
          <w:rFonts w:ascii="Times New Roman" w:hAnsi="Times New Roman"/>
          <w:sz w:val="24"/>
          <w:szCs w:val="24"/>
        </w:rPr>
        <w:t>, covering also the virtual components in case of blended mobility,</w:t>
      </w:r>
      <w:r w:rsidR="00B20DB0">
        <w:rPr>
          <w:rFonts w:ascii="Times New Roman" w:hAnsi="Times New Roman"/>
          <w:sz w:val="24"/>
          <w:szCs w:val="24"/>
        </w:rPr>
        <w:t xml:space="preserve"> and specifying:</w:t>
      </w:r>
    </w:p>
    <w:p w14:paraId="07FF8A07" w14:textId="77777777" w:rsidR="00B20DB0" w:rsidRPr="00087269" w:rsidRDefault="00B20DB0" w:rsidP="00087269">
      <w:pPr>
        <w:pStyle w:val="Lijstalinea"/>
        <w:numPr>
          <w:ilvl w:val="0"/>
          <w:numId w:val="43"/>
        </w:numPr>
        <w:ind w:left="1418" w:hanging="425"/>
        <w:jc w:val="both"/>
        <w:rPr>
          <w:rFonts w:ascii="Times New Roman" w:hAnsi="Times New Roman"/>
          <w:sz w:val="24"/>
          <w:szCs w:val="24"/>
        </w:rPr>
      </w:pPr>
      <w:r>
        <w:rPr>
          <w:rFonts w:ascii="Times New Roman" w:hAnsi="Times New Roman"/>
          <w:sz w:val="24"/>
          <w:szCs w:val="24"/>
        </w:rPr>
        <w:t>the name of the student,</w:t>
      </w:r>
    </w:p>
    <w:p w14:paraId="15768C8B" w14:textId="77777777" w:rsidR="002865E5" w:rsidRDefault="00B20DB0" w:rsidP="00087269">
      <w:pPr>
        <w:pStyle w:val="Lijstalinea"/>
        <w:numPr>
          <w:ilvl w:val="0"/>
          <w:numId w:val="43"/>
        </w:numPr>
        <w:ind w:left="1418" w:hanging="425"/>
        <w:jc w:val="both"/>
        <w:rPr>
          <w:rFonts w:ascii="Times New Roman" w:hAnsi="Times New Roman"/>
          <w:sz w:val="24"/>
          <w:szCs w:val="24"/>
        </w:rPr>
      </w:pPr>
      <w:r>
        <w:rPr>
          <w:rFonts w:ascii="Times New Roman" w:hAnsi="Times New Roman"/>
          <w:sz w:val="24"/>
          <w:szCs w:val="24"/>
        </w:rPr>
        <w:t xml:space="preserve">the </w:t>
      </w:r>
      <w:r w:rsidR="001C2C12">
        <w:rPr>
          <w:rFonts w:ascii="Times New Roman" w:eastAsia="Times New Roman" w:hAnsi="Times New Roman"/>
          <w:color w:val="000000"/>
          <w:sz w:val="24"/>
          <w:szCs w:val="24"/>
        </w:rPr>
        <w:t xml:space="preserve">confirmed </w:t>
      </w:r>
      <w:r>
        <w:rPr>
          <w:rFonts w:ascii="Times New Roman" w:hAnsi="Times New Roman"/>
          <w:sz w:val="24"/>
          <w:szCs w:val="24"/>
        </w:rPr>
        <w:t xml:space="preserve">start and end date of the </w:t>
      </w:r>
      <w:r w:rsidR="00794FDD">
        <w:rPr>
          <w:rFonts w:ascii="Times New Roman" w:hAnsi="Times New Roman"/>
          <w:sz w:val="24"/>
          <w:szCs w:val="24"/>
        </w:rPr>
        <w:t xml:space="preserve">physical </w:t>
      </w:r>
      <w:r>
        <w:rPr>
          <w:rFonts w:ascii="Times New Roman" w:hAnsi="Times New Roman"/>
          <w:sz w:val="24"/>
          <w:szCs w:val="24"/>
        </w:rPr>
        <w:t xml:space="preserve">mobility activity </w:t>
      </w:r>
    </w:p>
    <w:p w14:paraId="4E8EFD11" w14:textId="77777777" w:rsidR="002865E5" w:rsidRDefault="002865E5" w:rsidP="007E7CED">
      <w:pPr>
        <w:jc w:val="both"/>
        <w:rPr>
          <w:rFonts w:ascii="Times New Roman" w:hAnsi="Times New Roman"/>
          <w:sz w:val="24"/>
          <w:szCs w:val="24"/>
        </w:rPr>
      </w:pPr>
    </w:p>
    <w:p w14:paraId="715EE16B" w14:textId="5298E4D1" w:rsidR="00B20DB0" w:rsidRPr="007E7CED" w:rsidRDefault="00B20DB0" w:rsidP="007E7CED">
      <w:pPr>
        <w:ind w:left="720"/>
        <w:jc w:val="both"/>
        <w:rPr>
          <w:rFonts w:ascii="Times New Roman" w:hAnsi="Times New Roman"/>
          <w:sz w:val="24"/>
          <w:szCs w:val="24"/>
        </w:rPr>
      </w:pPr>
      <w:r w:rsidRPr="007E7CED">
        <w:rPr>
          <w:rFonts w:ascii="Times New Roman" w:hAnsi="Times New Roman"/>
          <w:sz w:val="24"/>
          <w:szCs w:val="24"/>
        </w:rPr>
        <w:t>in the following format:</w:t>
      </w:r>
    </w:p>
    <w:p w14:paraId="5FFAAC85" w14:textId="77777777" w:rsidR="00B20DB0" w:rsidRPr="00087269" w:rsidRDefault="00B20DB0" w:rsidP="00087269">
      <w:pPr>
        <w:pStyle w:val="Lijstalinea"/>
        <w:numPr>
          <w:ilvl w:val="0"/>
          <w:numId w:val="52"/>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77777777" w:rsidR="00B20DB0" w:rsidRDefault="00B20DB0" w:rsidP="00087269">
      <w:pPr>
        <w:pStyle w:val="Lijstalinea"/>
        <w:numPr>
          <w:ilvl w:val="0"/>
          <w:numId w:val="52"/>
        </w:numPr>
        <w:ind w:left="1985" w:hanging="425"/>
        <w:jc w:val="both"/>
      </w:pPr>
      <w:r>
        <w:rPr>
          <w:rFonts w:ascii="Times New Roman" w:hAnsi="Times New Roman"/>
          <w:sz w:val="24"/>
          <w:szCs w:val="24"/>
        </w:rPr>
        <w:t>Traineeship Certificate (or statement attached to it) in the case of mobility for traineeships</w:t>
      </w:r>
      <w:r w:rsidR="008D2F2C">
        <w:t>.]</w:t>
      </w:r>
    </w:p>
    <w:p w14:paraId="195DCBD2" w14:textId="77777777" w:rsidR="00BC7854" w:rsidRDefault="00BC7854" w:rsidP="00BC7854">
      <w:pPr>
        <w:spacing w:after="0"/>
        <w:ind w:left="709"/>
        <w:jc w:val="both"/>
        <w:rPr>
          <w:rFonts w:ascii="Times New Roman" w:hAnsi="Times New Roman"/>
          <w:sz w:val="24"/>
          <w:szCs w:val="24"/>
        </w:rPr>
      </w:pPr>
    </w:p>
    <w:p w14:paraId="48CD99E5" w14:textId="08E89C95" w:rsidR="00B0214D" w:rsidRPr="007E7CED" w:rsidRDefault="00B0214D" w:rsidP="007E7CED">
      <w:pPr>
        <w:autoSpaceDE w:val="0"/>
        <w:autoSpaceDN w:val="0"/>
        <w:spacing w:after="0" w:line="240" w:lineRule="auto"/>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lastRenderedPageBreak/>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F6148E">
        <w:rPr>
          <w:rFonts w:ascii="Times New Roman" w:hAnsi="Times New Roman"/>
          <w:sz w:val="24"/>
          <w:szCs w:val="24"/>
        </w:rPr>
        <w:t>.</w:t>
      </w:r>
      <w:r w:rsidR="004B5544" w:rsidRPr="004B5544">
        <w:rPr>
          <w:rFonts w:ascii="Times New Roman" w:hAnsi="Times New Roman"/>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C57B6A">
      <w:pPr>
        <w:pStyle w:val="Lijstalinea"/>
        <w:ind w:left="0"/>
        <w:jc w:val="both"/>
        <w:rPr>
          <w:rFonts w:ascii="Times New Roman" w:hAnsi="Times New Roman"/>
          <w:sz w:val="24"/>
          <w:szCs w:val="24"/>
          <w:shd w:val="clear" w:color="auto" w:fill="00FFFF"/>
        </w:rPr>
      </w:pPr>
    </w:p>
    <w:p w14:paraId="753A1D87" w14:textId="77777777" w:rsidR="004E5F94" w:rsidRDefault="004E5F94" w:rsidP="00087269">
      <w:pPr>
        <w:tabs>
          <w:tab w:val="left" w:pos="851"/>
        </w:tabs>
        <w:spacing w:after="0" w:line="100" w:lineRule="atLeast"/>
        <w:jc w:val="both"/>
        <w:rPr>
          <w:rFonts w:ascii="Times New Roman" w:hAnsi="Times New Roman"/>
          <w:b/>
          <w:bCs/>
          <w:sz w:val="24"/>
          <w:szCs w:val="24"/>
          <w:u w:val="single"/>
          <w:shd w:val="clear" w:color="auto" w:fill="FFFF00"/>
          <w:lang w:val="en-US"/>
        </w:rPr>
      </w:pPr>
    </w:p>
    <w:p w14:paraId="4613CCDC" w14:textId="5B925A1D" w:rsidR="00B20DB0" w:rsidRPr="004E5F94" w:rsidRDefault="00B20DB0" w:rsidP="004E5F94">
      <w:pPr>
        <w:pStyle w:val="Lijstalinea"/>
        <w:numPr>
          <w:ilvl w:val="0"/>
          <w:numId w:val="46"/>
        </w:numPr>
        <w:ind w:left="426" w:hanging="284"/>
        <w:rPr>
          <w:rFonts w:ascii="Times New Roman" w:hAnsi="Times New Roman"/>
          <w:b/>
          <w:bCs/>
          <w:sz w:val="24"/>
          <w:szCs w:val="24"/>
          <w:u w:val="single"/>
        </w:rPr>
      </w:pPr>
      <w:r w:rsidRPr="004E5F94">
        <w:rPr>
          <w:rFonts w:ascii="Times New Roman" w:hAnsi="Times New Roman"/>
          <w:b/>
          <w:bCs/>
          <w:sz w:val="24"/>
          <w:szCs w:val="24"/>
          <w:u w:val="single"/>
        </w:rPr>
        <w:t>Individual support</w:t>
      </w:r>
    </w:p>
    <w:p w14:paraId="00A700A6" w14:textId="77777777" w:rsidR="00B20DB0" w:rsidRDefault="00B20DB0">
      <w:pPr>
        <w:jc w:val="both"/>
        <w:rPr>
          <w:rFonts w:ascii="Times New Roman" w:hAnsi="Times New Roman"/>
          <w:b/>
          <w:sz w:val="24"/>
          <w:szCs w:val="24"/>
        </w:rPr>
      </w:pPr>
    </w:p>
    <w:p w14:paraId="27B172D3" w14:textId="5E58D981" w:rsidR="00C55F20" w:rsidRPr="008D0369" w:rsidRDefault="00C55F20" w:rsidP="008D0369">
      <w:pPr>
        <w:numPr>
          <w:ilvl w:val="0"/>
          <w:numId w:val="48"/>
        </w:numPr>
        <w:tabs>
          <w:tab w:val="num" w:pos="567"/>
        </w:tabs>
        <w:spacing w:after="240" w:line="100" w:lineRule="atLeast"/>
        <w:jc w:val="both"/>
        <w:rPr>
          <w:rFonts w:ascii="Times New Roman" w:hAnsi="Times New Roman"/>
          <w:sz w:val="24"/>
          <w:szCs w:val="24"/>
        </w:rPr>
      </w:pPr>
      <w:r w:rsidRPr="008D0369">
        <w:rPr>
          <w:rFonts w:ascii="Times New Roman" w:hAnsi="Times New Roman"/>
          <w:sz w:val="24"/>
          <w:szCs w:val="24"/>
        </w:rPr>
        <w:t>Calculation of the grant amount for students: the grant amount is calculated by multiplying the number of days/months</w:t>
      </w:r>
      <w:r w:rsidR="00413255" w:rsidRPr="008D0369">
        <w:rPr>
          <w:rFonts w:ascii="Times New Roman" w:hAnsi="Times New Roman"/>
          <w:sz w:val="24"/>
          <w:szCs w:val="24"/>
        </w:rPr>
        <w:t xml:space="preserve"> of physical presence</w:t>
      </w:r>
      <w:r w:rsidRPr="008D0369">
        <w:rPr>
          <w:rFonts w:ascii="Times New Roman" w:hAnsi="Times New Roman"/>
          <w:sz w:val="24"/>
          <w:szCs w:val="24"/>
        </w:rPr>
        <w:t xml:space="preserve"> per student by the unit contribution applicable per day/month for the receiving country concerned as specified in Annex IV of the Agreement. </w:t>
      </w:r>
      <w:r w:rsidR="00413255" w:rsidRPr="008D0369">
        <w:rPr>
          <w:rFonts w:ascii="Times New Roman" w:hAnsi="Times New Roman"/>
          <w:sz w:val="24"/>
          <w:szCs w:val="24"/>
        </w:rPr>
        <w:t>Funded t</w:t>
      </w:r>
      <w:r w:rsidRPr="008D0369">
        <w:rPr>
          <w:rFonts w:ascii="Times New Roman" w:hAnsi="Times New Roman"/>
          <w:sz w:val="24"/>
          <w:szCs w:val="24"/>
        </w:rPr>
        <w:t xml:space="preserve">ravel days may be added if relevant for a specific activity, and up to the limits specified in the Programme Guide. </w:t>
      </w:r>
    </w:p>
    <w:p w14:paraId="0CE06671" w14:textId="11F708C3" w:rsidR="00413255" w:rsidRPr="007E7CED" w:rsidRDefault="00413255" w:rsidP="007E7CED">
      <w:pPr>
        <w:tabs>
          <w:tab w:val="num" w:pos="567"/>
        </w:tabs>
        <w:spacing w:line="100" w:lineRule="atLeast"/>
        <w:ind w:left="502"/>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r w:rsidR="000500EB">
        <w:rPr>
          <w:rFonts w:ascii="Times New Roman" w:hAnsi="Times New Roman"/>
          <w:sz w:val="24"/>
          <w:szCs w:val="24"/>
        </w:rPr>
        <w:t xml:space="preserve"> including the top-up amounts</w:t>
      </w:r>
      <w:r w:rsidRPr="003B2C00">
        <w:rPr>
          <w:rFonts w:ascii="Times New Roman" w:hAnsi="Times New Roman"/>
          <w:sz w:val="24"/>
          <w:szCs w:val="24"/>
        </w:rPr>
        <w:t>.</w:t>
      </w:r>
    </w:p>
    <w:p w14:paraId="263C35A9" w14:textId="0CFF0047" w:rsidR="00390C81" w:rsidRDefault="00390C81" w:rsidP="00413255">
      <w:pPr>
        <w:ind w:left="567"/>
        <w:jc w:val="both"/>
        <w:rPr>
          <w:rFonts w:ascii="Times New Roman" w:hAnsi="Times New Roman"/>
          <w:sz w:val="24"/>
          <w:szCs w:val="24"/>
        </w:rPr>
      </w:pPr>
      <w:r>
        <w:rPr>
          <w:rFonts w:ascii="Times New Roman" w:hAnsi="Times New Roman"/>
          <w:sz w:val="24"/>
          <w:szCs w:val="24"/>
        </w:rPr>
        <w:t>In the case of higher education student mobility for traineeships between Programme Countries</w:t>
      </w:r>
      <w:r w:rsidR="00C07FB5">
        <w:rPr>
          <w:rFonts w:ascii="Times New Roman" w:hAnsi="Times New Roman"/>
          <w:sz w:val="24"/>
          <w:szCs w:val="24"/>
        </w:rPr>
        <w:t xml:space="preserve"> and to Partner Countries from Regions 5 and 14</w:t>
      </w:r>
      <w:r>
        <w:rPr>
          <w:rFonts w:ascii="Times New Roman" w:hAnsi="Times New Roman"/>
          <w:sz w:val="24"/>
          <w:szCs w:val="24"/>
        </w:rPr>
        <w:t xml:space="preserve">, the student </w:t>
      </w:r>
      <w:r w:rsidR="000500EB">
        <w:rPr>
          <w:rFonts w:ascii="Times New Roman" w:hAnsi="Times New Roman"/>
          <w:sz w:val="24"/>
          <w:szCs w:val="24"/>
        </w:rPr>
        <w:t>and</w:t>
      </w:r>
      <w:r w:rsidR="00413255">
        <w:rPr>
          <w:rFonts w:ascii="Times New Roman" w:hAnsi="Times New Roman"/>
          <w:sz w:val="24"/>
          <w:szCs w:val="24"/>
        </w:rPr>
        <w:t xml:space="preserve"> recent graduate </w:t>
      </w:r>
      <w:r>
        <w:rPr>
          <w:rFonts w:ascii="Times New Roman" w:hAnsi="Times New Roman"/>
          <w:sz w:val="24"/>
          <w:szCs w:val="24"/>
        </w:rPr>
        <w:t xml:space="preserve">must receive a </w:t>
      </w:r>
      <w:r w:rsidR="00413255">
        <w:rPr>
          <w:rFonts w:ascii="Times New Roman" w:hAnsi="Times New Roman"/>
          <w:sz w:val="24"/>
          <w:szCs w:val="24"/>
        </w:rPr>
        <w:t xml:space="preserve">monthly </w:t>
      </w:r>
      <w:r>
        <w:rPr>
          <w:rFonts w:ascii="Times New Roman" w:hAnsi="Times New Roman"/>
          <w:sz w:val="24"/>
          <w:szCs w:val="24"/>
        </w:rPr>
        <w:t>top-up</w:t>
      </w:r>
      <w:r w:rsidR="00413255">
        <w:rPr>
          <w:rFonts w:ascii="Times New Roman" w:hAnsi="Times New Roman"/>
          <w:sz w:val="24"/>
          <w:szCs w:val="24"/>
        </w:rPr>
        <w:t xml:space="preserve"> amount</w:t>
      </w:r>
      <w:r>
        <w:rPr>
          <w:rFonts w:ascii="Times New Roman" w:hAnsi="Times New Roman"/>
          <w:sz w:val="24"/>
          <w:szCs w:val="24"/>
        </w:rPr>
        <w:t xml:space="preserve"> </w:t>
      </w:r>
      <w:r w:rsidR="00413255">
        <w:rPr>
          <w:rFonts w:ascii="Times New Roman" w:hAnsi="Times New Roman"/>
          <w:sz w:val="24"/>
          <w:szCs w:val="24"/>
        </w:rPr>
        <w:t xml:space="preserve">for traineeships </w:t>
      </w:r>
      <w:r>
        <w:rPr>
          <w:rFonts w:ascii="Times New Roman" w:hAnsi="Times New Roman"/>
          <w:sz w:val="24"/>
          <w:szCs w:val="24"/>
        </w:rPr>
        <w:t>for individual support.</w:t>
      </w:r>
    </w:p>
    <w:p w14:paraId="09FD4E3E" w14:textId="468BCEDD" w:rsidR="00390C81" w:rsidRPr="00DD4AA1" w:rsidRDefault="00390C81" w:rsidP="00390C81">
      <w:pPr>
        <w:ind w:left="567"/>
        <w:jc w:val="both"/>
        <w:rPr>
          <w:rFonts w:ascii="Times New Roman" w:hAnsi="Times New Roman"/>
          <w:sz w:val="24"/>
          <w:szCs w:val="24"/>
        </w:rPr>
      </w:pPr>
      <w:r>
        <w:rPr>
          <w:rFonts w:ascii="Times New Roman" w:hAnsi="Times New Roman"/>
          <w:sz w:val="24"/>
          <w:szCs w:val="24"/>
        </w:rPr>
        <w:t xml:space="preserve">Students </w:t>
      </w:r>
      <w:r w:rsidR="000500EB">
        <w:rPr>
          <w:rFonts w:ascii="Times New Roman" w:hAnsi="Times New Roman"/>
          <w:sz w:val="24"/>
          <w:szCs w:val="24"/>
        </w:rPr>
        <w:t>and</w:t>
      </w:r>
      <w:r w:rsidR="00413255">
        <w:rPr>
          <w:rFonts w:ascii="Times New Roman" w:hAnsi="Times New Roman"/>
          <w:sz w:val="24"/>
          <w:szCs w:val="24"/>
        </w:rPr>
        <w:t xml:space="preserve"> recent graduates </w:t>
      </w:r>
      <w:r>
        <w:rPr>
          <w:rFonts w:ascii="Times New Roman" w:hAnsi="Times New Roman"/>
          <w:sz w:val="24"/>
          <w:szCs w:val="24"/>
        </w:rPr>
        <w:t xml:space="preserve">with fewer opportunities </w:t>
      </w:r>
      <w:r w:rsidRPr="00B578BC">
        <w:rPr>
          <w:rFonts w:ascii="Times New Roman" w:hAnsi="Times New Roman"/>
          <w:sz w:val="24"/>
          <w:szCs w:val="24"/>
        </w:rPr>
        <w:t>participating in mobility must receive a top-up</w:t>
      </w:r>
      <w:r w:rsidR="00413255">
        <w:rPr>
          <w:rFonts w:ascii="Times New Roman" w:hAnsi="Times New Roman"/>
          <w:sz w:val="24"/>
          <w:szCs w:val="24"/>
        </w:rPr>
        <w:t xml:space="preserve"> amount for fewer </w:t>
      </w:r>
      <w:proofErr w:type="spellStart"/>
      <w:r w:rsidR="00413255">
        <w:rPr>
          <w:rFonts w:ascii="Times New Roman" w:hAnsi="Times New Roman"/>
          <w:sz w:val="24"/>
          <w:szCs w:val="24"/>
        </w:rPr>
        <w:t>opportunites</w:t>
      </w:r>
      <w:proofErr w:type="spellEnd"/>
      <w:r w:rsidRPr="00B578BC">
        <w:rPr>
          <w:rFonts w:ascii="Times New Roman" w:hAnsi="Times New Roman"/>
          <w:sz w:val="24"/>
          <w:szCs w:val="24"/>
        </w:rPr>
        <w:t xml:space="preserve"> for individual support when they fulfil the eligibility criteria set at national level</w:t>
      </w:r>
      <w:r w:rsidRPr="00390C81">
        <w:rPr>
          <w:rFonts w:ascii="Times New Roman" w:hAnsi="Times New Roman"/>
          <w:sz w:val="24"/>
          <w:szCs w:val="24"/>
        </w:rPr>
        <w:t>. The top-up</w:t>
      </w:r>
      <w:r w:rsidR="00413255">
        <w:rPr>
          <w:rFonts w:ascii="Times New Roman" w:hAnsi="Times New Roman"/>
          <w:sz w:val="24"/>
          <w:szCs w:val="24"/>
        </w:rPr>
        <w:t xml:space="preserve"> amount</w:t>
      </w:r>
      <w:r w:rsidRPr="00390C81">
        <w:rPr>
          <w:rFonts w:ascii="Times New Roman" w:hAnsi="Times New Roman"/>
          <w:sz w:val="24"/>
          <w:szCs w:val="24"/>
        </w:rPr>
        <w:t xml:space="preserve">s for traineeships and fewer opportunities are cumulative for </w:t>
      </w:r>
      <w:r w:rsidR="007C77A3">
        <w:rPr>
          <w:rFonts w:ascii="Times New Roman" w:hAnsi="Times New Roman"/>
          <w:sz w:val="24"/>
          <w:szCs w:val="24"/>
        </w:rPr>
        <w:t xml:space="preserve">long-term student </w:t>
      </w:r>
      <w:r w:rsidRPr="00390C81">
        <w:rPr>
          <w:rFonts w:ascii="Times New Roman" w:hAnsi="Times New Roman"/>
          <w:sz w:val="24"/>
          <w:szCs w:val="24"/>
        </w:rPr>
        <w:t>mobility between Programme Countries</w:t>
      </w:r>
      <w:r w:rsidR="00C07FB5">
        <w:rPr>
          <w:rFonts w:ascii="Times New Roman" w:hAnsi="Times New Roman"/>
          <w:sz w:val="24"/>
          <w:szCs w:val="24"/>
        </w:rPr>
        <w:t xml:space="preserve"> and to Partner Countries from Regions 5 and 14</w:t>
      </w:r>
      <w:r w:rsidRPr="00390C81">
        <w:rPr>
          <w:rFonts w:ascii="Times New Roman" w:hAnsi="Times New Roman"/>
          <w:sz w:val="24"/>
          <w:szCs w:val="24"/>
        </w:rPr>
        <w:t xml:space="preserve">. </w:t>
      </w:r>
    </w:p>
    <w:p w14:paraId="40E1794D" w14:textId="2DBA5A44" w:rsidR="000500EB" w:rsidRPr="007E7CED" w:rsidRDefault="000500EB" w:rsidP="00F114A2">
      <w:pPr>
        <w:spacing w:line="100" w:lineRule="atLeast"/>
        <w:ind w:left="567"/>
        <w:jc w:val="both"/>
        <w:rPr>
          <w:rFonts w:ascii="Times New Roman" w:hAnsi="Times New Roman"/>
          <w:sz w:val="24"/>
          <w:szCs w:val="24"/>
        </w:rPr>
      </w:pPr>
      <w:r>
        <w:rPr>
          <w:rFonts w:ascii="Times New Roman" w:hAnsi="Times New Roman"/>
          <w:sz w:val="24"/>
          <w:szCs w:val="24"/>
        </w:rPr>
        <w:t xml:space="preserve">In the cases where students and recent graduates do not receive separate travel support, they are entitled to receive funding for </w:t>
      </w:r>
      <w:r w:rsidR="003F3E77">
        <w:rPr>
          <w:rFonts w:ascii="Times New Roman" w:hAnsi="Times New Roman"/>
          <w:sz w:val="24"/>
          <w:szCs w:val="24"/>
        </w:rPr>
        <w:t>using</w:t>
      </w:r>
      <w:r>
        <w:rPr>
          <w:rFonts w:ascii="Times New Roman" w:hAnsi="Times New Roman"/>
          <w:sz w:val="24"/>
          <w:szCs w:val="24"/>
        </w:rPr>
        <w:t xml:space="preserve"> sustainable means of transport </w:t>
      </w:r>
      <w:r w:rsidR="00F97A1C">
        <w:rPr>
          <w:rFonts w:ascii="Times New Roman" w:hAnsi="Times New Roman"/>
          <w:sz w:val="24"/>
          <w:szCs w:val="24"/>
        </w:rPr>
        <w:t>as specified in</w:t>
      </w:r>
      <w:r>
        <w:rPr>
          <w:rFonts w:ascii="Times New Roman" w:hAnsi="Times New Roman"/>
          <w:sz w:val="24"/>
          <w:szCs w:val="24"/>
        </w:rPr>
        <w:t xml:space="preserve"> the Programme Guide.</w:t>
      </w:r>
      <w:r w:rsidR="003F3E77">
        <w:rPr>
          <w:rFonts w:ascii="Times New Roman" w:hAnsi="Times New Roman"/>
          <w:sz w:val="24"/>
          <w:szCs w:val="24"/>
        </w:rPr>
        <w:t xml:space="preserve"> For the supporting documents see the travel support section.</w:t>
      </w:r>
    </w:p>
    <w:p w14:paraId="22BA0F11" w14:textId="4DE5D4BC" w:rsidR="00B20DB0" w:rsidRDefault="00C13818" w:rsidP="00BE2A05">
      <w:pPr>
        <w:ind w:left="567"/>
        <w:rPr>
          <w:rFonts w:ascii="Times New Roman" w:hAnsi="Times New Roman"/>
          <w:sz w:val="24"/>
          <w:szCs w:val="24"/>
        </w:rPr>
      </w:pPr>
      <w:r>
        <w:rPr>
          <w:rFonts w:ascii="Times New Roman" w:hAnsi="Times New Roman"/>
          <w:sz w:val="24"/>
          <w:szCs w:val="24"/>
        </w:rPr>
        <w:t>S</w:t>
      </w:r>
      <w:r w:rsidR="00B20DB0">
        <w:rPr>
          <w:rFonts w:ascii="Times New Roman" w:hAnsi="Times New Roman"/>
          <w:sz w:val="24"/>
          <w:szCs w:val="24"/>
        </w:rPr>
        <w:t xml:space="preserve">tart and end dates will be counted as follows: </w:t>
      </w:r>
    </w:p>
    <w:p w14:paraId="56E0BBA4" w14:textId="77777777" w:rsidR="00B20DB0" w:rsidRDefault="00B20DB0" w:rsidP="004A2024">
      <w:pPr>
        <w:numPr>
          <w:ilvl w:val="1"/>
          <w:numId w:val="4"/>
        </w:numPr>
        <w:ind w:left="993"/>
        <w:jc w:val="both"/>
        <w:rPr>
          <w:rFonts w:ascii="Times New Roman" w:hAnsi="Times New Roman"/>
          <w:sz w:val="24"/>
          <w:szCs w:val="24"/>
        </w:rPr>
      </w:pPr>
      <w:r>
        <w:rPr>
          <w:rFonts w:ascii="Times New Roman" w:hAnsi="Times New Roman"/>
          <w:sz w:val="24"/>
          <w:szCs w:val="24"/>
        </w:rPr>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6F78AFD8" w:rsidR="00B20DB0" w:rsidRPr="00087269" w:rsidRDefault="00B20DB0" w:rsidP="00087269">
      <w:pPr>
        <w:numPr>
          <w:ilvl w:val="0"/>
          <w:numId w:val="59"/>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5A6ED42D" w14:textId="2A2BF355" w:rsidR="00586A4A" w:rsidRPr="0077498C" w:rsidRDefault="00382C7D" w:rsidP="00087269">
      <w:pPr>
        <w:spacing w:after="240" w:line="100" w:lineRule="atLeast"/>
        <w:ind w:left="567"/>
        <w:jc w:val="both"/>
        <w:rPr>
          <w:rFonts w:ascii="Times New Roman" w:hAnsi="Times New Roman"/>
          <w:sz w:val="24"/>
          <w:szCs w:val="24"/>
          <w:shd w:val="clear" w:color="auto" w:fill="00FFFF"/>
        </w:rPr>
      </w:pPr>
      <w:r>
        <w:rPr>
          <w:rFonts w:ascii="Times New Roman" w:eastAsia="Times New Roman" w:hAnsi="Times New Roman"/>
          <w:color w:val="000000"/>
          <w:sz w:val="24"/>
          <w:szCs w:val="24"/>
        </w:rPr>
        <w:t>Calculation of the grant amount for staff: t</w:t>
      </w:r>
      <w:r w:rsidR="00C13818">
        <w:rPr>
          <w:rFonts w:ascii="Times New Roman" w:eastAsia="Times New Roman" w:hAnsi="Times New Roman"/>
          <w:color w:val="000000"/>
          <w:sz w:val="24"/>
          <w:szCs w:val="24"/>
        </w:rPr>
        <w:t>he</w:t>
      </w:r>
      <w:r w:rsidR="00B20DB0">
        <w:rPr>
          <w:rFonts w:ascii="Times New Roman" w:eastAsia="Times New Roman" w:hAnsi="Times New Roman"/>
          <w:color w:val="000000"/>
          <w:sz w:val="24"/>
          <w:szCs w:val="24"/>
        </w:rPr>
        <w:t xml:space="preserve"> grant amount is calculated by multiplying the number </w:t>
      </w:r>
      <w:r w:rsidR="00F97A1C">
        <w:rPr>
          <w:rFonts w:ascii="Times New Roman" w:hAnsi="Times New Roman"/>
          <w:sz w:val="24"/>
          <w:szCs w:val="24"/>
        </w:rPr>
        <w:t>of physical presence</w:t>
      </w:r>
      <w:r w:rsidR="00F97A1C">
        <w:rPr>
          <w:rFonts w:ascii="Times New Roman" w:eastAsia="Times New Roman" w:hAnsi="Times New Roman"/>
          <w:color w:val="000000"/>
          <w:sz w:val="24"/>
          <w:szCs w:val="24"/>
        </w:rPr>
        <w:t xml:space="preserve"> </w:t>
      </w:r>
      <w:r w:rsidR="00B20DB0">
        <w:rPr>
          <w:rFonts w:ascii="Times New Roman" w:eastAsia="Times New Roman" w:hAnsi="Times New Roman"/>
          <w:color w:val="000000"/>
          <w:sz w:val="24"/>
          <w:szCs w:val="24"/>
        </w:rPr>
        <w:t xml:space="preserve">of days per participant by the unit </w:t>
      </w:r>
      <w:r w:rsidR="00B20DB0">
        <w:rPr>
          <w:rFonts w:ascii="Times New Roman" w:eastAsia="Times New Roman" w:hAnsi="Times New Roman"/>
          <w:color w:val="000000"/>
          <w:sz w:val="24"/>
          <w:szCs w:val="24"/>
        </w:rPr>
        <w:lastRenderedPageBreak/>
        <w:t xml:space="preserve">contribution applicable per day for the receiving country concerned as specified in Annex IV of the Agreement. </w:t>
      </w:r>
      <w:r w:rsidR="00F97A1C">
        <w:rPr>
          <w:rFonts w:ascii="Times New Roman" w:eastAsia="Times New Roman" w:hAnsi="Times New Roman"/>
          <w:color w:val="000000"/>
          <w:sz w:val="24"/>
          <w:szCs w:val="24"/>
        </w:rPr>
        <w:t xml:space="preserve">Funded </w:t>
      </w:r>
      <w:r w:rsidR="00F97A1C">
        <w:rPr>
          <w:rFonts w:ascii="Times New Roman" w:hAnsi="Times New Roman"/>
          <w:sz w:val="24"/>
          <w:szCs w:val="24"/>
        </w:rPr>
        <w:t>t</w:t>
      </w:r>
      <w:r w:rsidR="001F5D9A" w:rsidRPr="00FA1944">
        <w:rPr>
          <w:rFonts w:ascii="Times New Roman" w:hAnsi="Times New Roman"/>
          <w:sz w:val="24"/>
          <w:szCs w:val="24"/>
        </w:rPr>
        <w:t>ravel days may be added if relevant for a specific activity, and up to the limits specified in the Programme Guide.</w:t>
      </w:r>
      <w:r w:rsidR="00B20DB0">
        <w:rPr>
          <w:rFonts w:ascii="Times New Roman" w:eastAsia="Times New Roman" w:hAnsi="Times New Roman"/>
          <w:color w:val="000000"/>
          <w:sz w:val="24"/>
          <w:szCs w:val="24"/>
        </w:rPr>
        <w:t xml:space="preserve"> </w:t>
      </w:r>
    </w:p>
    <w:p w14:paraId="31F886E1" w14:textId="11702195" w:rsidR="00990FDB" w:rsidRPr="007E7CED" w:rsidRDefault="00990FDB" w:rsidP="008C2637">
      <w:pPr>
        <w:tabs>
          <w:tab w:val="left" w:pos="851"/>
        </w:tabs>
        <w:ind w:left="567"/>
        <w:jc w:val="both"/>
        <w:rPr>
          <w:rFonts w:ascii="Times New Roman" w:eastAsia="Times New Roman" w:hAnsi="Times New Roman"/>
          <w:sz w:val="24"/>
          <w:szCs w:val="24"/>
        </w:rPr>
      </w:pPr>
      <w:r w:rsidRPr="007E7CED">
        <w:rPr>
          <w:rFonts w:ascii="Times New Roman" w:eastAsia="Times New Roman" w:hAnsi="Times New Roman"/>
          <w:color w:val="000000"/>
          <w:sz w:val="24"/>
          <w:szCs w:val="24"/>
        </w:rPr>
        <w:t>Participants</w:t>
      </w:r>
      <w:r w:rsidRPr="00990FDB">
        <w:rPr>
          <w:rFonts w:ascii="Times New Roman" w:eastAsia="Times New Roman" w:hAnsi="Times New Roman"/>
          <w:color w:val="000000"/>
          <w:sz w:val="24"/>
          <w:szCs w:val="24"/>
        </w:rPr>
        <w:t xml:space="preserve"> have to receive individual support for the minimum mobility duration</w:t>
      </w:r>
      <w:r w:rsidR="00EE3228">
        <w:rPr>
          <w:rFonts w:ascii="Times New Roman" w:eastAsia="Times New Roman" w:hAnsi="Times New Roman"/>
          <w:color w:val="000000"/>
          <w:sz w:val="24"/>
          <w:szCs w:val="24"/>
        </w:rPr>
        <w:t xml:space="preserve">, </w:t>
      </w:r>
      <w:r w:rsidR="00EE3228" w:rsidRPr="007E7CED">
        <w:rPr>
          <w:rFonts w:ascii="Times New Roman" w:eastAsia="Times New Roman" w:hAnsi="Times New Roman"/>
          <w:color w:val="000000"/>
          <w:sz w:val="24"/>
          <w:szCs w:val="24"/>
        </w:rPr>
        <w:t xml:space="preserve">with </w:t>
      </w:r>
      <w:r w:rsidR="00EE3228" w:rsidRPr="007E7CED">
        <w:rPr>
          <w:rFonts w:ascii="Times New Roman" w:eastAsia="Times New Roman" w:hAnsi="Times New Roman"/>
          <w:sz w:val="24"/>
          <w:szCs w:val="24"/>
        </w:rPr>
        <w:t>the exception of the non-funded mobility (“zero grant”)</w:t>
      </w:r>
      <w:r w:rsidRPr="007E7CED">
        <w:rPr>
          <w:rFonts w:ascii="Times New Roman" w:eastAsia="Times New Roman" w:hAnsi="Times New Roman"/>
          <w:sz w:val="24"/>
          <w:szCs w:val="24"/>
        </w:rPr>
        <w:t>.</w:t>
      </w:r>
    </w:p>
    <w:p w14:paraId="2C5D9145" w14:textId="4B3E5966" w:rsidR="00B20DB0" w:rsidRDefault="00990FDB" w:rsidP="008C2637">
      <w:pPr>
        <w:tabs>
          <w:tab w:val="left" w:pos="851"/>
        </w:tabs>
        <w:ind w:left="567"/>
        <w:jc w:val="both"/>
        <w:rPr>
          <w:rFonts w:ascii="Times New Roman" w:hAnsi="Times New Roman"/>
          <w:sz w:val="24"/>
          <w:szCs w:val="24"/>
        </w:rPr>
      </w:pPr>
      <w:r w:rsidRPr="00990FDB">
        <w:rPr>
          <w:rFonts w:ascii="Times New Roman" w:eastAsia="Times New Roman" w:hAnsi="Times New Roman"/>
          <w:color w:val="000000"/>
          <w:sz w:val="24"/>
          <w:szCs w:val="24"/>
        </w:rPr>
        <w:t xml:space="preserve"> </w:t>
      </w:r>
      <w:r w:rsidR="00603998" w:rsidRPr="00560563">
        <w:rPr>
          <w:rFonts w:ascii="Times New Roman" w:eastAsia="Times New Roman" w:hAnsi="Times New Roman"/>
          <w:color w:val="000000"/>
          <w:sz w:val="24"/>
          <w:szCs w:val="24"/>
        </w:rPr>
        <w:t>Changes in the period of stay for students and staff:</w:t>
      </w:r>
    </w:p>
    <w:p w14:paraId="1C9ACF12" w14:textId="77777777" w:rsidR="00B20DB0" w:rsidRPr="00087269" w:rsidRDefault="00B20DB0" w:rsidP="00087269">
      <w:pPr>
        <w:numPr>
          <w:ilvl w:val="0"/>
          <w:numId w:val="64"/>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Pr="00087269" w:rsidRDefault="00B20DB0" w:rsidP="00087269">
      <w:pPr>
        <w:numPr>
          <w:ilvl w:val="1"/>
          <w:numId w:val="65"/>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Pr="00087269" w:rsidRDefault="00B20DB0" w:rsidP="00087269">
      <w:pPr>
        <w:numPr>
          <w:ilvl w:val="1"/>
          <w:numId w:val="65"/>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Pr="00087269" w:rsidRDefault="00B20DB0" w:rsidP="00087269">
      <w:pPr>
        <w:numPr>
          <w:ilvl w:val="1"/>
          <w:numId w:val="65"/>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087269" w:rsidRDefault="00B20DB0" w:rsidP="00087269">
      <w:pPr>
        <w:pStyle w:val="Lijstalinea"/>
        <w:numPr>
          <w:ilvl w:val="0"/>
          <w:numId w:val="66"/>
        </w:numPr>
        <w:tabs>
          <w:tab w:val="left" w:pos="993"/>
        </w:tabs>
        <w:spacing w:after="240"/>
        <w:ind w:left="993"/>
        <w:jc w:val="both"/>
        <w:rPr>
          <w:rFonts w:ascii="Times New Roman" w:hAnsi="Times New Roman"/>
          <w:sz w:val="24"/>
          <w:szCs w:val="24"/>
          <w:u w:val="single"/>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36717AFA" w:rsidR="00603998" w:rsidRPr="00087269" w:rsidRDefault="00603998" w:rsidP="00087269">
      <w:pPr>
        <w:numPr>
          <w:ilvl w:val="0"/>
          <w:numId w:val="66"/>
        </w:numPr>
        <w:tabs>
          <w:tab w:val="left" w:pos="993"/>
        </w:tabs>
        <w:ind w:left="993"/>
        <w:jc w:val="both"/>
        <w:rPr>
          <w:rFonts w:ascii="Times New Roman" w:hAnsi="Times New Roman"/>
          <w:sz w:val="24"/>
          <w:szCs w:val="24"/>
        </w:rPr>
      </w:pPr>
      <w:r w:rsidRPr="001A0CB9">
        <w:rPr>
          <w:rFonts w:ascii="Times New Roman" w:hAnsi="Times New Roman"/>
          <w:sz w:val="24"/>
          <w:szCs w:val="24"/>
        </w:rPr>
        <w:t>For</w:t>
      </w:r>
      <w:r w:rsidR="00F97A1C">
        <w:rPr>
          <w:rFonts w:ascii="Times New Roman" w:hAnsi="Times New Roman"/>
          <w:sz w:val="24"/>
          <w:szCs w:val="24"/>
        </w:rPr>
        <w:t xml:space="preserve"> long-term</w:t>
      </w:r>
      <w:r w:rsidRPr="001A0CB9">
        <w:rPr>
          <w:rFonts w:ascii="Times New Roman" w:hAnsi="Times New Roman"/>
          <w:sz w:val="24"/>
          <w:szCs w:val="24"/>
        </w:rPr>
        <w:t xml:space="preserve"> student mobility: Without prejudice of the respect of the minimum eligible duration, if the confirmed period of stay is shorter than the one indicated in the grant agreement, the beneficiary will act as follows:</w:t>
      </w:r>
    </w:p>
    <w:p w14:paraId="344D4F6A" w14:textId="5DFF237E" w:rsidR="00603998" w:rsidRPr="00087269" w:rsidRDefault="00603998" w:rsidP="00087269">
      <w:pPr>
        <w:numPr>
          <w:ilvl w:val="1"/>
          <w:numId w:val="67"/>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w:t>
      </w:r>
      <w:r w:rsidR="00F30559">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74D888B6" w:rsidR="00B20DB0" w:rsidRPr="00087269" w:rsidRDefault="00603998" w:rsidP="00087269">
      <w:pPr>
        <w:numPr>
          <w:ilvl w:val="1"/>
          <w:numId w:val="67"/>
        </w:numPr>
        <w:jc w:val="both"/>
        <w:rPr>
          <w:rFonts w:ascii="Times New Roman" w:hAnsi="Times New Roman"/>
          <w:sz w:val="24"/>
          <w:szCs w:val="24"/>
        </w:rPr>
      </w:pPr>
      <w:r w:rsidRPr="001A0CB9">
        <w:rPr>
          <w:rFonts w:ascii="Times New Roman" w:hAnsi="Times New Roman"/>
          <w:sz w:val="24"/>
          <w:szCs w:val="24"/>
        </w:rPr>
        <w:t xml:space="preserve">On the contrary, if the difference is 5 days or less, the beneficiary must maintain in </w:t>
      </w:r>
      <w:r w:rsidR="00586A4A">
        <w:rPr>
          <w:rFonts w:ascii="Times New Roman" w:hAnsi="Times New Roman"/>
          <w:sz w:val="24"/>
          <w:szCs w:val="24"/>
        </w:rPr>
        <w:t xml:space="preserve">the </w:t>
      </w:r>
      <w:r w:rsidR="00C51EB9">
        <w:rPr>
          <w:rFonts w:ascii="Times New Roman" w:hAnsi="Times New Roman"/>
          <w:sz w:val="24"/>
          <w:szCs w:val="24"/>
        </w:rPr>
        <w:t>Erasmus+ reporting and management tool</w:t>
      </w:r>
      <w:r w:rsidR="00C51EB9" w:rsidDel="00C51EB9">
        <w:rPr>
          <w:rFonts w:ascii="Times New Roman" w:hAnsi="Times New Roman"/>
          <w:sz w:val="24"/>
          <w:szCs w:val="24"/>
        </w:rPr>
        <w:t xml:space="preserve"> </w:t>
      </w:r>
      <w:r w:rsidRPr="001A0CB9">
        <w:rPr>
          <w:rFonts w:ascii="Times New Roman" w:hAnsi="Times New Roman"/>
          <w:sz w:val="24"/>
          <w:szCs w:val="24"/>
        </w:rPr>
        <w:t xml:space="preserve">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r w:rsidR="00BC7854" w:rsidRPr="00603998">
        <w:rPr>
          <w:rFonts w:ascii="Times New Roman" w:hAnsi="Times New Roman"/>
          <w:sz w:val="24"/>
          <w:szCs w:val="24"/>
        </w:rPr>
        <w:t>]</w:t>
      </w:r>
      <w:r w:rsidR="00B20DB0" w:rsidRPr="00603998">
        <w:rPr>
          <w:rFonts w:ascii="Times New Roman" w:hAnsi="Times New Roman"/>
          <w:sz w:val="24"/>
          <w:szCs w:val="24"/>
        </w:rPr>
        <w:t xml:space="preserve"> </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14AF2B5C" w14:textId="0EBB573C" w:rsidR="00FF6E5B" w:rsidRPr="00087269" w:rsidRDefault="00FF6E5B" w:rsidP="00087269">
      <w:pPr>
        <w:pStyle w:val="Lijstalinea"/>
        <w:ind w:left="1069"/>
        <w:rPr>
          <w:color w:val="000000" w:themeColor="text1"/>
        </w:rPr>
      </w:pPr>
      <w:r w:rsidRPr="00087269">
        <w:rPr>
          <w:rFonts w:ascii="Times New Roman" w:hAnsi="Times New Roman"/>
          <w:color w:val="000000"/>
          <w:sz w:val="24"/>
          <w:szCs w:val="24"/>
        </w:rPr>
        <w:t xml:space="preserve">Supporting documents </w:t>
      </w:r>
      <w:r w:rsidRPr="00087269">
        <w:rPr>
          <w:rFonts w:ascii="Times New Roman" w:hAnsi="Times New Roman"/>
          <w:sz w:val="24"/>
          <w:szCs w:val="24"/>
        </w:rPr>
        <w:t>for staff:</w:t>
      </w:r>
      <w:r w:rsidRPr="00087269">
        <w:rPr>
          <w:rFonts w:ascii="Times New Roman" w:hAnsi="Times New Roman"/>
          <w:color w:val="000000"/>
          <w:sz w:val="24"/>
          <w:szCs w:val="24"/>
        </w:rPr>
        <w:t xml:space="preserve"> </w:t>
      </w:r>
      <w:r w:rsidRPr="00087269">
        <w:rPr>
          <w:rFonts w:ascii="Times New Roman" w:eastAsia="Times New Roman" w:hAnsi="Times New Roman"/>
          <w:color w:val="000000"/>
          <w:sz w:val="24"/>
          <w:szCs w:val="24"/>
        </w:rPr>
        <w:t xml:space="preserve">Proof of attendance of the activity in the form of a declaration signed by the receiving organisation specifying the name of the participant, the purpose of the activity, as well as its </w:t>
      </w:r>
      <w:r w:rsidR="00C454E8">
        <w:rPr>
          <w:rFonts w:ascii="Times New Roman" w:eastAsia="Times New Roman" w:hAnsi="Times New Roman"/>
          <w:color w:val="000000"/>
          <w:sz w:val="24"/>
          <w:szCs w:val="24"/>
        </w:rPr>
        <w:t xml:space="preserve">confirmed physical </w:t>
      </w:r>
      <w:r w:rsidRPr="00087269">
        <w:rPr>
          <w:rFonts w:ascii="Times New Roman" w:eastAsia="Times New Roman" w:hAnsi="Times New Roman"/>
          <w:color w:val="000000"/>
          <w:sz w:val="24"/>
          <w:szCs w:val="24"/>
        </w:rPr>
        <w:t>start and end date</w:t>
      </w:r>
    </w:p>
    <w:p w14:paraId="1BA2967A" w14:textId="77777777" w:rsidR="00990FDB" w:rsidRDefault="00990FDB" w:rsidP="00087269">
      <w:pPr>
        <w:tabs>
          <w:tab w:val="left" w:pos="567"/>
        </w:tabs>
        <w:spacing w:line="100" w:lineRule="atLeast"/>
        <w:ind w:left="1069"/>
        <w:jc w:val="both"/>
        <w:rPr>
          <w:rFonts w:ascii="Times New Roman" w:hAnsi="Times New Roman"/>
          <w:b/>
          <w:bCs/>
          <w:sz w:val="24"/>
          <w:szCs w:val="24"/>
          <w:shd w:val="clear" w:color="auto" w:fill="00FFFF"/>
        </w:rPr>
      </w:pPr>
    </w:p>
    <w:p w14:paraId="3D530328" w14:textId="1975E0B1" w:rsidR="00B20DB0" w:rsidRDefault="00B20DB0" w:rsidP="00087269">
      <w:pPr>
        <w:tabs>
          <w:tab w:val="left" w:pos="567"/>
        </w:tabs>
        <w:spacing w:line="100" w:lineRule="atLeast"/>
        <w:ind w:left="1069"/>
        <w:jc w:val="both"/>
        <w:rPr>
          <w:rFonts w:ascii="Times New Roman" w:hAnsi="Times New Roman"/>
          <w:sz w:val="24"/>
          <w:szCs w:val="24"/>
        </w:rPr>
      </w:pPr>
      <w:r>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Pr>
          <w:rFonts w:ascii="Times New Roman" w:hAnsi="Times New Roman"/>
          <w:sz w:val="24"/>
          <w:szCs w:val="24"/>
        </w:rPr>
        <w:t xml:space="preserve">evidence issued by the receiving organisation and specifying: </w:t>
      </w:r>
    </w:p>
    <w:p w14:paraId="34ACEFE5" w14:textId="77777777" w:rsidR="00B20DB0" w:rsidRPr="00087269" w:rsidRDefault="00B20DB0" w:rsidP="00087269">
      <w:pPr>
        <w:pStyle w:val="Lijstalinea"/>
        <w:numPr>
          <w:ilvl w:val="0"/>
          <w:numId w:val="44"/>
        </w:numPr>
        <w:tabs>
          <w:tab w:val="num" w:pos="1876"/>
        </w:tabs>
        <w:ind w:left="3010"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731449D1" w:rsidR="00B20DB0" w:rsidRPr="00087269" w:rsidRDefault="00B20DB0" w:rsidP="00087269">
      <w:pPr>
        <w:pStyle w:val="Lijstalinea"/>
        <w:numPr>
          <w:ilvl w:val="0"/>
          <w:numId w:val="44"/>
        </w:numPr>
        <w:tabs>
          <w:tab w:val="num" w:pos="1876"/>
        </w:tabs>
        <w:ind w:left="3010" w:hanging="425"/>
        <w:jc w:val="both"/>
        <w:rPr>
          <w:rFonts w:ascii="Times New Roman" w:hAnsi="Times New Roman"/>
          <w:sz w:val="24"/>
          <w:szCs w:val="24"/>
        </w:rPr>
      </w:pPr>
      <w:r>
        <w:rPr>
          <w:rFonts w:ascii="Times New Roman" w:hAnsi="Times New Roman"/>
          <w:sz w:val="24"/>
          <w:szCs w:val="24"/>
        </w:rPr>
        <w:t xml:space="preserve">the confirmed </w:t>
      </w:r>
      <w:r w:rsidR="00C454E8">
        <w:rPr>
          <w:rFonts w:ascii="Times New Roman" w:hAnsi="Times New Roman"/>
          <w:sz w:val="24"/>
          <w:szCs w:val="24"/>
        </w:rPr>
        <w:t xml:space="preserve">physical </w:t>
      </w:r>
      <w:r>
        <w:rPr>
          <w:rFonts w:ascii="Times New Roman" w:hAnsi="Times New Roman"/>
          <w:sz w:val="24"/>
          <w:szCs w:val="24"/>
        </w:rPr>
        <w:t>start and end date of the mobility activity in the following format:</w:t>
      </w:r>
    </w:p>
    <w:p w14:paraId="552386B3" w14:textId="77777777" w:rsidR="00B20DB0" w:rsidRDefault="00B20DB0" w:rsidP="00087269">
      <w:pPr>
        <w:pStyle w:val="Lijstalinea"/>
        <w:ind w:left="3316"/>
        <w:jc w:val="both"/>
        <w:rPr>
          <w:rFonts w:ascii="Times New Roman" w:hAnsi="Times New Roman"/>
          <w:sz w:val="24"/>
          <w:szCs w:val="24"/>
        </w:rPr>
      </w:pPr>
    </w:p>
    <w:p w14:paraId="4EF351E0" w14:textId="77777777" w:rsidR="00B20DB0" w:rsidRPr="00087269" w:rsidRDefault="00B20DB0" w:rsidP="00087269">
      <w:pPr>
        <w:numPr>
          <w:ilvl w:val="0"/>
          <w:numId w:val="50"/>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372171D1" w14:textId="77777777" w:rsidR="00C454E8" w:rsidRDefault="00B20DB0" w:rsidP="00087269">
      <w:pPr>
        <w:numPr>
          <w:ilvl w:val="0"/>
          <w:numId w:val="50"/>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0F0A786B" w14:textId="77777777" w:rsidR="00C454E8" w:rsidRDefault="00C454E8" w:rsidP="007E7CED">
      <w:pPr>
        <w:tabs>
          <w:tab w:val="left" w:pos="1560"/>
        </w:tabs>
        <w:spacing w:after="0" w:line="100" w:lineRule="atLeast"/>
        <w:ind w:left="1560"/>
        <w:jc w:val="both"/>
        <w:rPr>
          <w:rFonts w:ascii="Times New Roman" w:hAnsi="Times New Roman"/>
          <w:sz w:val="24"/>
          <w:szCs w:val="24"/>
        </w:rPr>
      </w:pPr>
    </w:p>
    <w:p w14:paraId="6798D7D6" w14:textId="480D3198" w:rsidR="00B20DB0" w:rsidRPr="007E7CED" w:rsidRDefault="00C454E8" w:rsidP="007E7CED">
      <w:pPr>
        <w:tabs>
          <w:tab w:val="left" w:pos="567"/>
        </w:tabs>
        <w:spacing w:line="100" w:lineRule="atLeast"/>
        <w:ind w:left="1069"/>
        <w:jc w:val="both"/>
        <w:rPr>
          <w:rFonts w:ascii="Times New Roman" w:hAnsi="Times New Roman"/>
          <w:sz w:val="24"/>
          <w:szCs w:val="24"/>
        </w:rPr>
      </w:pPr>
      <w:r>
        <w:rPr>
          <w:rFonts w:ascii="Times New Roman" w:hAnsi="Times New Roman"/>
          <w:sz w:val="24"/>
          <w:szCs w:val="24"/>
        </w:rPr>
        <w:t>Supporting documents for blended mobility and for the participation in blended intensive programmes: the regular documents as specified above have to be used.</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6A4A4948" w14:textId="71A27FE5" w:rsidR="00562398" w:rsidRPr="00562398" w:rsidRDefault="00B20DB0" w:rsidP="00562398">
      <w:pPr>
        <w:ind w:left="1440"/>
        <w:jc w:val="both"/>
        <w:rPr>
          <w:rFonts w:ascii="Times New Roman" w:hAnsi="Times New Roman"/>
          <w:sz w:val="24"/>
          <w:szCs w:val="24"/>
          <w:lang w:val="en-US" w:eastAsia="en-US"/>
        </w:rPr>
      </w:pPr>
      <w:r>
        <w:rPr>
          <w:rFonts w:ascii="Times New Roman" w:hAnsi="Times New Roman"/>
          <w:sz w:val="24"/>
          <w:szCs w:val="24"/>
        </w:rPr>
        <w:t>Participants</w:t>
      </w:r>
      <w:r w:rsidR="007E120A">
        <w:rPr>
          <w:rFonts w:ascii="Times New Roman" w:hAnsi="Times New Roman"/>
          <w:sz w:val="24"/>
          <w:szCs w:val="24"/>
        </w:rPr>
        <w:t xml:space="preserve"> </w:t>
      </w:r>
      <w:r>
        <w:rPr>
          <w:rFonts w:ascii="Times New Roman" w:hAnsi="Times New Roman"/>
          <w:sz w:val="24"/>
          <w:szCs w:val="24"/>
        </w:rPr>
        <w:t>in mobility activities</w:t>
      </w:r>
      <w:r w:rsidR="00562398" w:rsidRPr="00562398">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3264DF7E" w14:textId="39E68CDE" w:rsidR="006C5E53" w:rsidRDefault="006C5E53" w:rsidP="00087269">
      <w:pPr>
        <w:tabs>
          <w:tab w:val="left" w:pos="993"/>
        </w:tabs>
        <w:ind w:left="720"/>
        <w:jc w:val="both"/>
        <w:rPr>
          <w:rFonts w:ascii="Times New Roman" w:hAnsi="Times New Roman"/>
          <w:sz w:val="24"/>
          <w:szCs w:val="24"/>
        </w:rPr>
      </w:pPr>
    </w:p>
    <w:p w14:paraId="15D60ED7" w14:textId="63C59E05" w:rsidR="00B20DB0" w:rsidRPr="004E5F94" w:rsidRDefault="00B20DB0" w:rsidP="004E5F94">
      <w:pPr>
        <w:tabs>
          <w:tab w:val="left" w:pos="993"/>
        </w:tabs>
        <w:ind w:left="720"/>
        <w:jc w:val="both"/>
      </w:pPr>
      <w:r w:rsidRPr="00B578BC">
        <w:rPr>
          <w:rFonts w:ascii="Times New Roman" w:hAnsi="Times New Roman"/>
          <w:sz w:val="24"/>
          <w:szCs w:val="24"/>
        </w:rPr>
        <w:lastRenderedPageBreak/>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B0F32DB" w14:textId="77777777" w:rsidR="00A1634B" w:rsidRDefault="00A1634B" w:rsidP="008D0369">
      <w:pPr>
        <w:tabs>
          <w:tab w:val="left" w:pos="851"/>
        </w:tabs>
        <w:spacing w:after="0" w:line="100" w:lineRule="atLeast"/>
        <w:jc w:val="both"/>
        <w:rPr>
          <w:rFonts w:ascii="Times New Roman" w:hAnsi="Times New Roman"/>
          <w:b/>
          <w:bCs/>
          <w:sz w:val="24"/>
          <w:szCs w:val="24"/>
          <w:u w:val="single"/>
          <w:shd w:val="clear" w:color="auto" w:fill="FFFF00"/>
        </w:rPr>
      </w:pPr>
    </w:p>
    <w:p w14:paraId="5003FF42" w14:textId="40C7D9B2" w:rsidR="00B20DB0" w:rsidRPr="004E5F94" w:rsidRDefault="00B20DB0" w:rsidP="004E5F94">
      <w:pPr>
        <w:pStyle w:val="Lijstalinea"/>
        <w:numPr>
          <w:ilvl w:val="0"/>
          <w:numId w:val="136"/>
        </w:numPr>
        <w:tabs>
          <w:tab w:val="left" w:pos="567"/>
        </w:tabs>
        <w:ind w:left="567" w:hanging="283"/>
        <w:jc w:val="both"/>
        <w:rPr>
          <w:rFonts w:ascii="Times New Roman" w:hAnsi="Times New Roman"/>
          <w:b/>
          <w:bCs/>
          <w:sz w:val="24"/>
          <w:szCs w:val="24"/>
          <w:u w:val="single"/>
        </w:rPr>
      </w:pPr>
      <w:r w:rsidRPr="004E5F94">
        <w:rPr>
          <w:rFonts w:ascii="Times New Roman" w:hAnsi="Times New Roman"/>
          <w:b/>
          <w:bCs/>
          <w:sz w:val="24"/>
          <w:szCs w:val="24"/>
          <w:u w:val="single"/>
        </w:rPr>
        <w:t>Organisational support</w:t>
      </w:r>
    </w:p>
    <w:p w14:paraId="446466CF" w14:textId="77777777" w:rsidR="00B20DB0" w:rsidRPr="008D0369" w:rsidRDefault="00B20DB0" w:rsidP="008D0369">
      <w:pPr>
        <w:rPr>
          <w:rFonts w:ascii="Times New Roman" w:hAnsi="Times New Roman"/>
          <w:b/>
          <w:bCs/>
          <w:sz w:val="24"/>
          <w:szCs w:val="24"/>
          <w:u w:val="single"/>
        </w:rPr>
      </w:pPr>
    </w:p>
    <w:p w14:paraId="036029EE" w14:textId="19E4E498" w:rsidR="00F97A1C" w:rsidRPr="007E7CED" w:rsidRDefault="00B20DB0" w:rsidP="00F97A1C">
      <w:pPr>
        <w:pStyle w:val="Lijstalinea"/>
        <w:spacing w:after="200" w:line="276" w:lineRule="auto"/>
        <w:jc w:val="both"/>
        <w:rPr>
          <w:rFonts w:ascii="Times New Roman" w:hAnsi="Times New Roman"/>
          <w:sz w:val="24"/>
          <w:szCs w:val="24"/>
        </w:rPr>
      </w:pPr>
      <w:r w:rsidRPr="008D0369">
        <w:rPr>
          <w:rFonts w:ascii="Times New Roman" w:hAnsi="Times New Roman"/>
          <w:sz w:val="24"/>
          <w:szCs w:val="24"/>
        </w:rPr>
        <w:t xml:space="preserve">Calculation of the grant amount </w:t>
      </w:r>
      <w:r w:rsidR="00F97A1C">
        <w:rPr>
          <w:rFonts w:ascii="Times New Roman" w:hAnsi="Times New Roman"/>
          <w:sz w:val="24"/>
          <w:szCs w:val="24"/>
        </w:rPr>
        <w:t>for mobility organisational support</w:t>
      </w:r>
      <w:r w:rsidRPr="00560563">
        <w:rPr>
          <w:rFonts w:ascii="Times New Roman" w:hAnsi="Times New Roman"/>
          <w:sz w:val="24"/>
          <w:szCs w:val="24"/>
        </w:rPr>
        <w:t xml:space="preserve">: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sidRPr="00560563">
        <w:rPr>
          <w:rFonts w:ascii="Times New Roman" w:hAnsi="Times New Roman"/>
          <w:sz w:val="24"/>
          <w:szCs w:val="24"/>
        </w:rPr>
        <w:t xml:space="preserve"> by the unit contribution</w:t>
      </w:r>
      <w:r w:rsidR="00B350BF">
        <w:rPr>
          <w:rFonts w:ascii="Times New Roman" w:hAnsi="Times New Roman"/>
          <w:sz w:val="24"/>
          <w:szCs w:val="24"/>
        </w:rPr>
        <w:t>s</w:t>
      </w:r>
      <w:r w:rsidRPr="00560563">
        <w:rPr>
          <w:rFonts w:ascii="Times New Roman" w:hAnsi="Times New Roman"/>
          <w:sz w:val="24"/>
          <w:szCs w:val="24"/>
        </w:rPr>
        <w:t xml:space="preserve"> applicable as specified in Annex IV of the Agreement. The total number of participations considered for the calculation of organisational support includes all students and staff undertaking outbound mobility, including those with a zero-grant</w:t>
      </w:r>
      <w:r w:rsidRPr="000271B5">
        <w:rPr>
          <w:rFonts w:ascii="Times New Roman" w:hAnsi="Times New Roman"/>
          <w:sz w:val="24"/>
          <w:szCs w:val="24"/>
        </w:rPr>
        <w:t xml:space="preserve">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 participants at their activity.</w:t>
      </w:r>
    </w:p>
    <w:p w14:paraId="0492D4C2" w14:textId="7D225788" w:rsidR="00F97A1C" w:rsidRDefault="00F97A1C" w:rsidP="00F97A1C">
      <w:pPr>
        <w:pStyle w:val="Lijstalinea"/>
        <w:spacing w:after="200" w:line="276" w:lineRule="auto"/>
        <w:jc w:val="both"/>
        <w:rPr>
          <w:rFonts w:ascii="Times New Roman" w:hAnsi="Times New Roman"/>
          <w:sz w:val="24"/>
          <w:szCs w:val="24"/>
        </w:rPr>
      </w:pPr>
      <w:r w:rsidRPr="00560563">
        <w:rPr>
          <w:rFonts w:ascii="Times New Roman" w:hAnsi="Times New Roman"/>
          <w:sz w:val="24"/>
          <w:szCs w:val="24"/>
        </w:rPr>
        <w:t>Calculation of the grant amount</w:t>
      </w:r>
      <w:r>
        <w:rPr>
          <w:rFonts w:ascii="Times New Roman" w:hAnsi="Times New Roman"/>
          <w:sz w:val="24"/>
          <w:szCs w:val="24"/>
        </w:rPr>
        <w:t xml:space="preserve"> for blended intensive programme organisational support</w:t>
      </w:r>
      <w:r w:rsidRPr="00560563">
        <w:rPr>
          <w:rFonts w:ascii="Times New Roman" w:hAnsi="Times New Roman"/>
          <w:sz w:val="24"/>
          <w:szCs w:val="24"/>
        </w:rPr>
        <w:t>: the grant amount is calculated by multiplying t</w:t>
      </w:r>
      <w:r>
        <w:rPr>
          <w:rFonts w:ascii="Times New Roman" w:hAnsi="Times New Roman"/>
          <w:sz w:val="24"/>
          <w:szCs w:val="24"/>
        </w:rPr>
        <w:t>he total number of participant</w:t>
      </w:r>
      <w:r w:rsidRPr="00560563">
        <w:rPr>
          <w:rFonts w:ascii="Times New Roman" w:hAnsi="Times New Roman"/>
          <w:sz w:val="24"/>
          <w:szCs w:val="24"/>
        </w:rPr>
        <w:t xml:space="preserve">s </w:t>
      </w:r>
      <w:r>
        <w:rPr>
          <w:rFonts w:ascii="Times New Roman" w:hAnsi="Times New Roman"/>
          <w:sz w:val="24"/>
          <w:szCs w:val="24"/>
        </w:rPr>
        <w:t xml:space="preserve">(learners) in the blended intensive programme, incoming through student study or staff training </w:t>
      </w:r>
      <w:r w:rsidRPr="00560563">
        <w:rPr>
          <w:rFonts w:ascii="Times New Roman" w:hAnsi="Times New Roman"/>
          <w:sz w:val="24"/>
          <w:szCs w:val="24"/>
        </w:rPr>
        <w:t>mobility activities</w:t>
      </w:r>
      <w:r>
        <w:rPr>
          <w:rFonts w:ascii="Times New Roman" w:hAnsi="Times New Roman"/>
          <w:sz w:val="24"/>
          <w:szCs w:val="24"/>
        </w:rPr>
        <w:t>,</w:t>
      </w:r>
      <w:r w:rsidRPr="00560563">
        <w:rPr>
          <w:rFonts w:ascii="Times New Roman" w:hAnsi="Times New Roman"/>
          <w:sz w:val="24"/>
          <w:szCs w:val="24"/>
        </w:rPr>
        <w:t xml:space="preserve"> by the unit contribution applicable as specifi</w:t>
      </w:r>
      <w:r w:rsidR="000F0AD6">
        <w:rPr>
          <w:rFonts w:ascii="Times New Roman" w:hAnsi="Times New Roman"/>
          <w:sz w:val="24"/>
          <w:szCs w:val="24"/>
        </w:rPr>
        <w:t>ed in Annex IV of the Agreement</w:t>
      </w:r>
      <w:r>
        <w:rPr>
          <w:rFonts w:ascii="Times New Roman" w:hAnsi="Times New Roman"/>
          <w:sz w:val="24"/>
          <w:szCs w:val="24"/>
        </w:rPr>
        <w:t xml:space="preserve"> </w:t>
      </w:r>
      <w:r w:rsidR="000F0AD6">
        <w:rPr>
          <w:rFonts w:ascii="Times New Roman" w:hAnsi="Times New Roman"/>
          <w:sz w:val="24"/>
          <w:szCs w:val="24"/>
        </w:rPr>
        <w:t>and within the limits specified in the Programme Guide</w:t>
      </w:r>
      <w:r>
        <w:rPr>
          <w:rFonts w:ascii="Times New Roman" w:hAnsi="Times New Roman"/>
          <w:sz w:val="24"/>
          <w:szCs w:val="24"/>
        </w:rPr>
        <w:t>.</w:t>
      </w:r>
    </w:p>
    <w:p w14:paraId="7DC83750" w14:textId="0B0175BC" w:rsidR="00B20DB0" w:rsidRDefault="00B20DB0" w:rsidP="00087269">
      <w:pPr>
        <w:pStyle w:val="Lijstalinea"/>
        <w:numPr>
          <w:ilvl w:val="0"/>
          <w:numId w:val="110"/>
        </w:numPr>
        <w:jc w:val="both"/>
        <w:rPr>
          <w:rFonts w:ascii="Times New Roman" w:hAnsi="Times New Roman"/>
          <w:sz w:val="24"/>
          <w:szCs w:val="24"/>
        </w:rPr>
      </w:pPr>
      <w:r w:rsidRPr="00087269">
        <w:rPr>
          <w:rFonts w:ascii="Times New Roman" w:hAnsi="Times New Roman"/>
          <w:sz w:val="24"/>
          <w:szCs w:val="24"/>
        </w:rPr>
        <w:t>Triggering event: the event that conditions the entitlement to the grant is that the participant has actually undertaken the activity</w:t>
      </w:r>
      <w:r w:rsidR="00E44844">
        <w:rPr>
          <w:rFonts w:ascii="Times New Roman" w:hAnsi="Times New Roman"/>
          <w:sz w:val="24"/>
          <w:szCs w:val="24"/>
        </w:rPr>
        <w:t xml:space="preserve"> </w:t>
      </w:r>
      <w:r w:rsidR="00E44844" w:rsidRPr="00FA7BCF">
        <w:rPr>
          <w:rFonts w:ascii="Times New Roman" w:hAnsi="Times New Roman"/>
          <w:sz w:val="24"/>
          <w:szCs w:val="24"/>
        </w:rPr>
        <w:t>and in the case of blended intensive programmes, the minimum required number of participants has taken part in the activity</w:t>
      </w:r>
      <w:r w:rsidR="007E120A">
        <w:rPr>
          <w:rFonts w:ascii="Times New Roman" w:hAnsi="Times New Roman"/>
          <w:sz w:val="24"/>
          <w:szCs w:val="24"/>
        </w:rPr>
        <w:t>.</w:t>
      </w:r>
    </w:p>
    <w:p w14:paraId="3EAA7957" w14:textId="77777777" w:rsidR="0075704F" w:rsidRPr="00087269" w:rsidRDefault="0075704F" w:rsidP="00087269">
      <w:pPr>
        <w:pStyle w:val="Lijstalinea"/>
        <w:ind w:left="502"/>
        <w:jc w:val="both"/>
        <w:rPr>
          <w:rFonts w:ascii="Times New Roman" w:hAnsi="Times New Roman"/>
          <w:sz w:val="24"/>
          <w:szCs w:val="24"/>
        </w:rPr>
      </w:pPr>
    </w:p>
    <w:p w14:paraId="57E99B54" w14:textId="77777777" w:rsidR="004E59CC" w:rsidRDefault="00B20DB0" w:rsidP="00087269">
      <w:pPr>
        <w:pStyle w:val="Lijstalinea"/>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2B12E335" w14:textId="77777777" w:rsidR="007E120A" w:rsidRPr="00E50FB2" w:rsidRDefault="007E120A" w:rsidP="00E50FB2">
      <w:pPr>
        <w:jc w:val="both"/>
        <w:rPr>
          <w:rFonts w:ascii="Times New Roman" w:hAnsi="Times New Roman"/>
          <w:sz w:val="24"/>
          <w:szCs w:val="24"/>
        </w:rPr>
      </w:pPr>
    </w:p>
    <w:p w14:paraId="63D35E50" w14:textId="28F87BFD" w:rsidR="004916AB" w:rsidRDefault="00905D28" w:rsidP="007E7CED">
      <w:pPr>
        <w:spacing w:after="240" w:line="100" w:lineRule="atLeast"/>
        <w:ind w:left="567"/>
        <w:jc w:val="both"/>
        <w:rPr>
          <w:rFonts w:ascii="Times New Roman" w:hAnsi="Times New Roman"/>
          <w:sz w:val="24"/>
          <w:szCs w:val="24"/>
        </w:rPr>
      </w:pPr>
      <w:r>
        <w:rPr>
          <w:rFonts w:ascii="Times New Roman" w:hAnsi="Times New Roman"/>
          <w:sz w:val="24"/>
          <w:szCs w:val="24"/>
        </w:rPr>
        <w:t>the same supporting doc</w:t>
      </w:r>
      <w:r w:rsidR="0025254C">
        <w:rPr>
          <w:rFonts w:ascii="Times New Roman" w:hAnsi="Times New Roman"/>
          <w:sz w:val="24"/>
          <w:szCs w:val="24"/>
        </w:rPr>
        <w:t>u</w:t>
      </w:r>
      <w:r>
        <w:rPr>
          <w:rFonts w:ascii="Times New Roman" w:hAnsi="Times New Roman"/>
          <w:sz w:val="24"/>
          <w:szCs w:val="24"/>
        </w:rPr>
        <w:t>ments a</w:t>
      </w:r>
      <w:r w:rsidR="0025254C">
        <w:rPr>
          <w:rFonts w:ascii="Times New Roman" w:hAnsi="Times New Roman"/>
          <w:sz w:val="24"/>
          <w:szCs w:val="24"/>
        </w:rPr>
        <w:t>s specified under the individual support section.</w:t>
      </w:r>
    </w:p>
    <w:p w14:paraId="1EA38C0C" w14:textId="5FB964BC" w:rsidR="004916AB" w:rsidRPr="007E7CED" w:rsidRDefault="00E44844" w:rsidP="007E7CED">
      <w:pPr>
        <w:tabs>
          <w:tab w:val="left" w:pos="851"/>
        </w:tabs>
        <w:ind w:left="567"/>
        <w:jc w:val="both"/>
        <w:rPr>
          <w:rFonts w:ascii="Times New Roman" w:hAnsi="Times New Roman"/>
          <w:sz w:val="24"/>
          <w:szCs w:val="24"/>
        </w:rPr>
      </w:pPr>
      <w:r w:rsidRPr="007E7CED">
        <w:rPr>
          <w:rFonts w:ascii="Times New Roman" w:hAnsi="Times New Roman"/>
          <w:sz w:val="24"/>
          <w:szCs w:val="24"/>
        </w:rPr>
        <w:t xml:space="preserve">In the case of blended intensive programmes, proof of attendance </w:t>
      </w:r>
      <w:r w:rsidRPr="007E7CED">
        <w:rPr>
          <w:rFonts w:ascii="Times New Roman" w:eastAsia="Times New Roman" w:hAnsi="Times New Roman"/>
          <w:sz w:val="24"/>
          <w:szCs w:val="24"/>
        </w:rPr>
        <w:t>specifying the participants’ name (learners) and their start and end date of the activity.</w:t>
      </w:r>
    </w:p>
    <w:p w14:paraId="4DA12A0F" w14:textId="27E90B7F" w:rsidR="00B20DB0" w:rsidDel="00CD2603" w:rsidRDefault="00B20DB0" w:rsidP="004C0037">
      <w:pPr>
        <w:ind w:left="284"/>
        <w:jc w:val="both"/>
        <w:rPr>
          <w:rFonts w:ascii="Times New Roman" w:hAnsi="Times New Roman"/>
          <w:sz w:val="24"/>
          <w:szCs w:val="24"/>
        </w:rPr>
      </w:pPr>
      <w:r w:rsidDel="00CD2603">
        <w:rPr>
          <w:rFonts w:ascii="Times New Roman" w:hAnsi="Times New Roman"/>
          <w:sz w:val="24"/>
          <w:szCs w:val="24"/>
        </w:rPr>
        <w:t xml:space="preserve">(d)    Reporting: </w:t>
      </w:r>
    </w:p>
    <w:p w14:paraId="21724BF8" w14:textId="3507FC4E" w:rsidR="001A7605" w:rsidRPr="00087269" w:rsidRDefault="001A7605" w:rsidP="00087269">
      <w:pPr>
        <w:pStyle w:val="Lijstalinea"/>
        <w:jc w:val="both"/>
        <w:rPr>
          <w:rFonts w:ascii="Times New Roman" w:hAnsi="Times New Roman"/>
          <w:sz w:val="24"/>
          <w:szCs w:val="24"/>
        </w:rPr>
      </w:pPr>
      <w:r>
        <w:rPr>
          <w:rFonts w:ascii="Times New Roman" w:hAnsi="Times New Roman"/>
          <w:sz w:val="24"/>
          <w:szCs w:val="24"/>
        </w:rPr>
        <w:t>Mobility organisational support:</w:t>
      </w:r>
      <w:r w:rsidR="00ED73CD">
        <w:rPr>
          <w:rFonts w:ascii="Times New Roman" w:hAnsi="Times New Roman"/>
          <w:sz w:val="24"/>
          <w:szCs w:val="24"/>
        </w:rPr>
        <w:t xml:space="preserve"> </w:t>
      </w:r>
    </w:p>
    <w:p w14:paraId="3037C681" w14:textId="77777777" w:rsidR="0039461B" w:rsidRPr="0039461B" w:rsidRDefault="0039461B" w:rsidP="00087269">
      <w:pPr>
        <w:pStyle w:val="Lijstalinea"/>
        <w:jc w:val="both"/>
        <w:rPr>
          <w:rFonts w:ascii="Times New Roman" w:hAnsi="Times New Roman"/>
          <w:sz w:val="24"/>
          <w:szCs w:val="24"/>
        </w:rPr>
      </w:pPr>
    </w:p>
    <w:p w14:paraId="1EFC4513" w14:textId="77777777" w:rsidR="00676D11" w:rsidRPr="008D0369" w:rsidRDefault="00676D11" w:rsidP="00087269">
      <w:pPr>
        <w:numPr>
          <w:ilvl w:val="0"/>
          <w:numId w:val="70"/>
        </w:numPr>
        <w:jc w:val="both"/>
        <w:rPr>
          <w:rFonts w:ascii="Times New Roman" w:eastAsia="SimSun" w:hAnsi="Times New Roman" w:cs="Calibri"/>
          <w:color w:val="000000"/>
          <w:sz w:val="24"/>
          <w:szCs w:val="24"/>
        </w:rPr>
      </w:pPr>
      <w:r w:rsidRPr="00087269">
        <w:rPr>
          <w:rFonts w:ascii="Times New Roman" w:eastAsia="SimSun" w:hAnsi="Times New Roman" w:cs="Calibri"/>
          <w:color w:val="000000"/>
          <w:sz w:val="24"/>
          <w:szCs w:val="24"/>
        </w:rPr>
        <w:t xml:space="preserve">There is a margin of tolerance of 10%, meaning that the organisational support grant must not be reduced if the total number of student and staff </w:t>
      </w:r>
      <w:r w:rsidRPr="00087269">
        <w:rPr>
          <w:rFonts w:ascii="Times New Roman" w:eastAsia="SimSun" w:hAnsi="Times New Roman" w:cs="Calibri"/>
          <w:color w:val="000000"/>
          <w:sz w:val="24"/>
          <w:szCs w:val="24"/>
        </w:rPr>
        <w:lastRenderedPageBreak/>
        <w:t xml:space="preserve">mobilities is lower than the number of mobilities specified in Annex II of </w:t>
      </w:r>
      <w:r w:rsidRPr="008D0369">
        <w:rPr>
          <w:rFonts w:ascii="Times New Roman" w:eastAsia="SimSun" w:hAnsi="Times New Roman" w:cs="Calibri"/>
          <w:color w:val="000000"/>
          <w:sz w:val="24"/>
          <w:szCs w:val="24"/>
        </w:rPr>
        <w:t>the Agreement by 10% or less.</w:t>
      </w:r>
    </w:p>
    <w:p w14:paraId="03983AD9" w14:textId="77777777" w:rsidR="00ED73CD" w:rsidRDefault="00B20DB0" w:rsidP="00ED73CD">
      <w:pPr>
        <w:numPr>
          <w:ilvl w:val="0"/>
          <w:numId w:val="70"/>
        </w:numPr>
        <w:jc w:val="both"/>
        <w:rPr>
          <w:rFonts w:ascii="Times New Roman" w:hAnsi="Times New Roman"/>
          <w:b/>
          <w:bCs/>
          <w:sz w:val="24"/>
          <w:szCs w:val="24"/>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r w:rsidR="00B24AE7">
        <w:rPr>
          <w:rFonts w:ascii="Times New Roman" w:hAnsi="Times New Roman"/>
          <w:sz w:val="24"/>
          <w:szCs w:val="24"/>
        </w:rPr>
        <w:t>]</w:t>
      </w:r>
    </w:p>
    <w:p w14:paraId="2EADE7BB" w14:textId="24446781" w:rsidR="000F7888" w:rsidRPr="007E7CED" w:rsidRDefault="00ED73CD" w:rsidP="007E7CED">
      <w:pPr>
        <w:ind w:left="709"/>
        <w:jc w:val="both"/>
        <w:rPr>
          <w:rFonts w:ascii="Times New Roman" w:hAnsi="Times New Roman"/>
          <w:sz w:val="24"/>
          <w:szCs w:val="24"/>
        </w:rPr>
      </w:pPr>
      <w:r w:rsidRPr="007E7CED">
        <w:rPr>
          <w:rFonts w:ascii="Times New Roman" w:hAnsi="Times New Roman"/>
          <w:sz w:val="24"/>
          <w:szCs w:val="24"/>
        </w:rPr>
        <w:t>Blended intensive programme organisational support: The beneficiary must report on the achieved activity.</w:t>
      </w:r>
    </w:p>
    <w:p w14:paraId="6F437A28" w14:textId="75A78360" w:rsidR="00ED73CD" w:rsidRPr="007E7CED" w:rsidRDefault="00ED73CD" w:rsidP="007E7CED">
      <w:pPr>
        <w:ind w:left="709"/>
        <w:jc w:val="both"/>
        <w:rPr>
          <w:rFonts w:ascii="Times New Roman" w:hAnsi="Times New Roman"/>
          <w:b/>
          <w:bCs/>
          <w:sz w:val="24"/>
          <w:szCs w:val="24"/>
        </w:rPr>
      </w:pPr>
      <w:r>
        <w:rPr>
          <w:rFonts w:ascii="Times New Roman" w:hAnsi="Times New Roman"/>
          <w:sz w:val="24"/>
          <w:szCs w:val="24"/>
        </w:rPr>
        <w:t xml:space="preserve">Mobility activities: </w:t>
      </w:r>
      <w:r w:rsidRPr="003B7D90">
        <w:rPr>
          <w:rFonts w:ascii="Times New Roman" w:hAnsi="Times New Roman"/>
          <w:sz w:val="24"/>
          <w:szCs w:val="24"/>
        </w:rPr>
        <w:t>The beneficiary must report on the achieved activity.</w:t>
      </w:r>
    </w:p>
    <w:p w14:paraId="0BBCDD72" w14:textId="77777777" w:rsidR="007E120A" w:rsidRDefault="007E120A">
      <w:pPr>
        <w:tabs>
          <w:tab w:val="left" w:pos="851"/>
        </w:tabs>
        <w:jc w:val="both"/>
        <w:rPr>
          <w:rFonts w:ascii="Times New Roman" w:hAnsi="Times New Roman"/>
          <w:b/>
          <w:bCs/>
          <w:sz w:val="24"/>
          <w:szCs w:val="24"/>
          <w:u w:val="single"/>
          <w:shd w:val="clear" w:color="auto" w:fill="FFFF00"/>
        </w:rPr>
      </w:pPr>
    </w:p>
    <w:p w14:paraId="1D4A2622" w14:textId="2B698FC2" w:rsidR="009B5BDF" w:rsidRPr="008D0369" w:rsidRDefault="000964AF" w:rsidP="008D0369">
      <w:pPr>
        <w:rPr>
          <w:rFonts w:ascii="Times New Roman" w:hAnsi="Times New Roman"/>
          <w:b/>
          <w:bCs/>
          <w:sz w:val="24"/>
          <w:szCs w:val="24"/>
          <w:u w:val="single"/>
        </w:rPr>
      </w:pPr>
      <w:r w:rsidRPr="008D0369">
        <w:rPr>
          <w:rFonts w:ascii="Times New Roman" w:hAnsi="Times New Roman"/>
          <w:b/>
          <w:bCs/>
          <w:sz w:val="24"/>
          <w:szCs w:val="24"/>
          <w:u w:val="single"/>
        </w:rPr>
        <w:t>D</w:t>
      </w:r>
      <w:r w:rsidR="009B5BDF" w:rsidRPr="008D0369">
        <w:rPr>
          <w:rFonts w:ascii="Times New Roman" w:hAnsi="Times New Roman"/>
          <w:b/>
          <w:bCs/>
          <w:sz w:val="24"/>
          <w:szCs w:val="24"/>
          <w:u w:val="single"/>
        </w:rPr>
        <w:t>. Inclusion support</w:t>
      </w:r>
      <w:r w:rsidR="002119F8" w:rsidRPr="008D0369">
        <w:rPr>
          <w:rFonts w:ascii="Times New Roman" w:hAnsi="Times New Roman"/>
          <w:b/>
          <w:bCs/>
          <w:sz w:val="24"/>
          <w:szCs w:val="24"/>
          <w:u w:val="single"/>
        </w:rPr>
        <w:t xml:space="preserve"> for organisations</w:t>
      </w:r>
    </w:p>
    <w:p w14:paraId="348D56AD" w14:textId="7681CD33" w:rsidR="009B5BDF" w:rsidRPr="00CB0EF3" w:rsidRDefault="009B5BDF" w:rsidP="00CB0EF3">
      <w:pPr>
        <w:pStyle w:val="Lijstalinea"/>
        <w:numPr>
          <w:ilvl w:val="0"/>
          <w:numId w:val="114"/>
        </w:numPr>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total number of participants with </w:t>
      </w:r>
      <w:r w:rsidR="001A7605" w:rsidRPr="007B06A1">
        <w:rPr>
          <w:rFonts w:ascii="Times New Roman" w:hAnsi="Times New Roman"/>
          <w:sz w:val="24"/>
          <w:szCs w:val="24"/>
        </w:rPr>
        <w:t>inclusion support</w:t>
      </w:r>
      <w:r w:rsidR="007E120A">
        <w:rPr>
          <w:rFonts w:ascii="Times New Roman" w:hAnsi="Times New Roman"/>
          <w:sz w:val="24"/>
          <w:szCs w:val="24"/>
        </w:rPr>
        <w:t xml:space="preserve">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4BEC7FE0" w:rsidR="00334028" w:rsidRPr="00087269" w:rsidRDefault="00334028" w:rsidP="00087269">
      <w:pPr>
        <w:pStyle w:val="Lijstalinea"/>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t>Triggering event: the event that conditions the entitlement to the grant is that the participant has actually undertaken the activity</w:t>
      </w:r>
      <w:r w:rsidR="001733B6">
        <w:rPr>
          <w:rFonts w:ascii="Times New Roman" w:hAnsi="Times New Roman"/>
          <w:sz w:val="24"/>
          <w:szCs w:val="24"/>
        </w:rPr>
        <w:t xml:space="preserve"> and received inclusion support for participants</w:t>
      </w:r>
      <w:r w:rsidR="007E120A">
        <w:rPr>
          <w:rFonts w:ascii="Times New Roman" w:hAnsi="Times New Roman"/>
          <w:sz w:val="24"/>
          <w:szCs w:val="24"/>
        </w:rPr>
        <w:t>.</w:t>
      </w:r>
    </w:p>
    <w:p w14:paraId="50F17AAE" w14:textId="77777777" w:rsidR="000A4C04" w:rsidRPr="00087269" w:rsidRDefault="000A4C04" w:rsidP="00087269">
      <w:pPr>
        <w:pStyle w:val="Lijstalinea"/>
        <w:rPr>
          <w:rFonts w:ascii="Times New Roman" w:hAnsi="Times New Roman"/>
          <w:sz w:val="24"/>
          <w:szCs w:val="24"/>
          <w:shd w:val="clear" w:color="auto" w:fill="00FFFF"/>
        </w:rPr>
      </w:pPr>
    </w:p>
    <w:p w14:paraId="126B2B60" w14:textId="19007A2F" w:rsidR="000A4C04" w:rsidRPr="007E7CED" w:rsidRDefault="00334028" w:rsidP="008D0369">
      <w:pPr>
        <w:pStyle w:val="Lijstalinea"/>
        <w:numPr>
          <w:ilvl w:val="0"/>
          <w:numId w:val="114"/>
        </w:numPr>
        <w:jc w:val="both"/>
        <w:rPr>
          <w:rFonts w:ascii="Times New Roman" w:hAnsi="Times New Roman"/>
          <w:color w:val="000000" w:themeColor="text1"/>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supporting documents proving the payment of the inclusion support for participants, as specified in section II.2.A of this Annex. </w:t>
      </w:r>
    </w:p>
    <w:p w14:paraId="4EA16090" w14:textId="77777777" w:rsidR="009B5BDF" w:rsidRDefault="009B5BDF" w:rsidP="009B5BDF">
      <w:pPr>
        <w:ind w:left="720"/>
        <w:jc w:val="both"/>
        <w:rPr>
          <w:rFonts w:ascii="Times New Roman" w:hAnsi="Times New Roman"/>
          <w:b/>
          <w:sz w:val="24"/>
          <w:szCs w:val="24"/>
          <w:shd w:val="clear" w:color="auto" w:fill="00FFFF"/>
        </w:rPr>
      </w:pPr>
    </w:p>
    <w:p w14:paraId="1A4422A4" w14:textId="7F0A7C70" w:rsidR="007B6CAB" w:rsidRPr="008D0369" w:rsidRDefault="00A51D28" w:rsidP="008D0369">
      <w:pPr>
        <w:rPr>
          <w:rFonts w:ascii="Times New Roman" w:hAnsi="Times New Roman"/>
          <w:b/>
          <w:bCs/>
          <w:sz w:val="24"/>
          <w:szCs w:val="24"/>
          <w:u w:val="single"/>
        </w:rPr>
      </w:pPr>
      <w:r w:rsidRPr="008D0369">
        <w:rPr>
          <w:rFonts w:ascii="Times New Roman" w:hAnsi="Times New Roman"/>
          <w:b/>
          <w:bCs/>
          <w:u w:val="single"/>
        </w:rPr>
        <w:t>E</w:t>
      </w:r>
      <w:r w:rsidR="00B20DB0" w:rsidRPr="008D0369">
        <w:rPr>
          <w:rFonts w:ascii="Times New Roman" w:hAnsi="Times New Roman"/>
          <w:b/>
          <w:bCs/>
          <w:u w:val="single"/>
        </w:rPr>
        <w:t xml:space="preserve">. </w:t>
      </w:r>
      <w:r w:rsidR="00B20DB0" w:rsidRPr="008D0369">
        <w:rPr>
          <w:rFonts w:ascii="Times New Roman" w:hAnsi="Times New Roman"/>
          <w:b/>
          <w:bCs/>
          <w:sz w:val="24"/>
          <w:szCs w:val="24"/>
          <w:u w:val="single"/>
        </w:rPr>
        <w:t>Online L</w:t>
      </w:r>
      <w:r w:rsidR="55197C96" w:rsidRPr="008D0369">
        <w:rPr>
          <w:rFonts w:ascii="Times New Roman" w:hAnsi="Times New Roman"/>
          <w:b/>
          <w:bCs/>
          <w:sz w:val="24"/>
          <w:szCs w:val="24"/>
          <w:u w:val="single"/>
        </w:rPr>
        <w:t xml:space="preserve">inguistic </w:t>
      </w:r>
      <w:r w:rsidR="00B20DB0" w:rsidRPr="008D0369">
        <w:rPr>
          <w:rFonts w:ascii="Times New Roman" w:hAnsi="Times New Roman"/>
          <w:b/>
          <w:bCs/>
          <w:sz w:val="24"/>
          <w:szCs w:val="24"/>
          <w:u w:val="single"/>
        </w:rPr>
        <w:t xml:space="preserve">Support (OLS) </w:t>
      </w:r>
    </w:p>
    <w:p w14:paraId="0001F29E" w14:textId="750A8C8C" w:rsidR="009B1308" w:rsidRPr="00ED6210" w:rsidRDefault="009B1308" w:rsidP="009B1308">
      <w:pPr>
        <w:jc w:val="both"/>
        <w:rPr>
          <w:rFonts w:ascii="Times New Roman" w:hAnsi="Times New Roman"/>
          <w:sz w:val="24"/>
          <w:szCs w:val="24"/>
        </w:rPr>
      </w:pPr>
      <w:r w:rsidRPr="004B5544">
        <w:rPr>
          <w:rFonts w:ascii="Times New Roman" w:hAnsi="Times New Roman"/>
          <w:sz w:val="24"/>
          <w:szCs w:val="24"/>
        </w:rPr>
        <w:t>The following provisions shall only apply to mobility activities where the main language of instruction or work is one of the languages available in the Online L</w:t>
      </w:r>
      <w:r w:rsidR="7A0F8AF0" w:rsidRPr="004B5544">
        <w:rPr>
          <w:rFonts w:ascii="Times New Roman" w:hAnsi="Times New Roman"/>
          <w:sz w:val="24"/>
          <w:szCs w:val="24"/>
        </w:rPr>
        <w:t xml:space="preserve">inguistic </w:t>
      </w:r>
      <w:r w:rsidRPr="004B5544">
        <w:rPr>
          <w:rFonts w:ascii="Times New Roman" w:hAnsi="Times New Roman"/>
          <w:sz w:val="24"/>
          <w:szCs w:val="24"/>
        </w:rPr>
        <w:t>Support tool, and where the participant is not a native or fully proficient speaker of the language in question.</w:t>
      </w:r>
    </w:p>
    <w:p w14:paraId="4C9F5208" w14:textId="77777777" w:rsidR="00B20DB0" w:rsidRPr="00BD0C79" w:rsidRDefault="00B20DB0">
      <w:pPr>
        <w:jc w:val="both"/>
        <w:rPr>
          <w:rFonts w:ascii="Times New Roman" w:hAnsi="Times New Roman"/>
          <w:sz w:val="24"/>
          <w:szCs w:val="24"/>
        </w:rPr>
      </w:pPr>
      <w:bookmarkStart w:id="1" w:name="_Hlk85634477"/>
      <w:r w:rsidRPr="004B5544">
        <w:rPr>
          <w:rFonts w:ascii="Times New Roman" w:hAnsi="Times New Roman"/>
          <w:sz w:val="24"/>
          <w:szCs w:val="24"/>
        </w:rPr>
        <w:t>OLS language assessments</w:t>
      </w:r>
    </w:p>
    <w:p w14:paraId="171AD480" w14:textId="4A8786A0" w:rsidR="00B20DB0" w:rsidRPr="001E1F91"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Language assessment are provided for participants undertaking a mobility period for a minimum </w:t>
      </w:r>
      <w:r w:rsidRPr="001E1F91">
        <w:rPr>
          <w:rFonts w:ascii="Times New Roman" w:hAnsi="Times New Roman"/>
          <w:sz w:val="24"/>
          <w:szCs w:val="24"/>
        </w:rPr>
        <w:t xml:space="preserve">period of two </w:t>
      </w:r>
      <w:r w:rsidR="00F1246A" w:rsidRPr="00FA72DD">
        <w:rPr>
          <w:rFonts w:ascii="Times New Roman" w:hAnsi="Times New Roman"/>
          <w:sz w:val="24"/>
          <w:szCs w:val="24"/>
        </w:rPr>
        <w:t>weeks</w:t>
      </w:r>
      <w:r w:rsidRPr="001E1F91">
        <w:rPr>
          <w:rFonts w:ascii="Times New Roman" w:hAnsi="Times New Roman"/>
          <w:sz w:val="24"/>
          <w:szCs w:val="24"/>
        </w:rPr>
        <w:t>.</w:t>
      </w:r>
    </w:p>
    <w:bookmarkEnd w:id="1"/>
    <w:p w14:paraId="7B56F2EF" w14:textId="2B677F86"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sidR="00B20DB0">
        <w:rPr>
          <w:rFonts w:ascii="Times New Roman" w:hAnsi="Times New Roman"/>
          <w:sz w:val="24"/>
          <w:szCs w:val="24"/>
        </w:rPr>
        <w:t xml:space="preserve"> distribute </w:t>
      </w:r>
      <w:r>
        <w:rPr>
          <w:rFonts w:ascii="Times New Roman" w:hAnsi="Times New Roman"/>
          <w:sz w:val="24"/>
          <w:szCs w:val="24"/>
        </w:rPr>
        <w:t>OLS a</w:t>
      </w:r>
      <w:r w:rsidR="39AF9D24">
        <w:rPr>
          <w:rFonts w:ascii="Times New Roman" w:hAnsi="Times New Roman"/>
          <w:sz w:val="24"/>
          <w:szCs w:val="24"/>
        </w:rPr>
        <w:t>ccesses</w:t>
      </w:r>
      <w:r>
        <w:rPr>
          <w:rFonts w:ascii="Times New Roman" w:hAnsi="Times New Roman"/>
          <w:sz w:val="24"/>
          <w:szCs w:val="24"/>
        </w:rPr>
        <w:t xml:space="preserve"> </w:t>
      </w:r>
      <w:r w:rsidR="00B20DB0">
        <w:rPr>
          <w:rFonts w:ascii="Times New Roman" w:hAnsi="Times New Roman"/>
          <w:sz w:val="24"/>
          <w:szCs w:val="24"/>
        </w:rPr>
        <w:t>to participants</w:t>
      </w:r>
      <w:r>
        <w:rPr>
          <w:rFonts w:ascii="Times New Roman" w:hAnsi="Times New Roman"/>
          <w:sz w:val="24"/>
          <w:szCs w:val="24"/>
        </w:rPr>
        <w:t xml:space="preserve"> (after their selection for the mobility activity), and </w:t>
      </w:r>
      <w:r w:rsidR="005D5EBF">
        <w:rPr>
          <w:rFonts w:ascii="Times New Roman" w:hAnsi="Times New Roman"/>
          <w:sz w:val="24"/>
          <w:szCs w:val="24"/>
        </w:rPr>
        <w:t>must</w:t>
      </w:r>
      <w:r w:rsidR="00B20DB0">
        <w:rPr>
          <w:rFonts w:ascii="Times New Roman" w:hAnsi="Times New Roman"/>
          <w:sz w:val="24"/>
          <w:szCs w:val="24"/>
        </w:rPr>
        <w:t xml:space="preserve"> make every effort to ensure that all the allocated </w:t>
      </w:r>
      <w:r w:rsidR="39AF9D24">
        <w:rPr>
          <w:rFonts w:ascii="Times New Roman" w:hAnsi="Times New Roman"/>
          <w:sz w:val="24"/>
          <w:szCs w:val="24"/>
        </w:rPr>
        <w:t xml:space="preserve">accesses </w:t>
      </w:r>
      <w:r w:rsidR="00B20DB0">
        <w:rPr>
          <w:rFonts w:ascii="Times New Roman" w:hAnsi="Times New Roman"/>
          <w:sz w:val="24"/>
          <w:szCs w:val="24"/>
        </w:rPr>
        <w:t>are used by the selected participants.</w:t>
      </w:r>
    </w:p>
    <w:p w14:paraId="51F43F52" w14:textId="3720B774" w:rsidR="00B20DB0" w:rsidRDefault="00B20DB0">
      <w:pPr>
        <w:numPr>
          <w:ilvl w:val="0"/>
          <w:numId w:val="4"/>
        </w:numPr>
        <w:jc w:val="both"/>
        <w:rPr>
          <w:rFonts w:ascii="Times New Roman" w:hAnsi="Times New Roman"/>
          <w:sz w:val="24"/>
          <w:szCs w:val="24"/>
        </w:rPr>
      </w:pPr>
      <w:r>
        <w:rPr>
          <w:rFonts w:ascii="Times New Roman" w:hAnsi="Times New Roman"/>
          <w:sz w:val="24"/>
          <w:szCs w:val="24"/>
        </w:rPr>
        <w:lastRenderedPageBreak/>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w:t>
      </w:r>
      <w:r w:rsidR="00210322">
        <w:rPr>
          <w:rFonts w:ascii="Times New Roman" w:hAnsi="Times New Roman"/>
          <w:sz w:val="24"/>
          <w:szCs w:val="24"/>
        </w:rPr>
        <w:t>the</w:t>
      </w:r>
      <w:r>
        <w:rPr>
          <w:rFonts w:ascii="Times New Roman" w:hAnsi="Times New Roman"/>
          <w:sz w:val="24"/>
          <w:szCs w:val="24"/>
        </w:rPr>
        <w:t xml:space="preserve"> OLS language assessment before their mobility period. </w:t>
      </w:r>
      <w:r w:rsidRPr="00B578BC">
        <w:rPr>
          <w:rFonts w:ascii="Times New Roman" w:hAnsi="Times New Roman"/>
          <w:sz w:val="24"/>
          <w:szCs w:val="24"/>
        </w:rPr>
        <w:t>The completion of the online language assessment before departure is a pre-requisite for the mobility, except in duly justified cases.</w:t>
      </w:r>
    </w:p>
    <w:p w14:paraId="222E1C6F" w14:textId="77777777" w:rsidR="00B20DB0" w:rsidRPr="007E7CED" w:rsidRDefault="00B20DB0" w:rsidP="55197C96">
      <w:pPr>
        <w:numPr>
          <w:ilvl w:val="0"/>
          <w:numId w:val="4"/>
        </w:numPr>
        <w:jc w:val="both"/>
        <w:rPr>
          <w:rFonts w:ascii="Times New Roman" w:hAnsi="Times New Roman"/>
          <w:i/>
          <w:iCs/>
          <w:sz w:val="24"/>
          <w:szCs w:val="24"/>
        </w:rPr>
      </w:pPr>
      <w:r>
        <w:rPr>
          <w:rFonts w:ascii="Times New Roman" w:hAnsi="Times New Roman"/>
          <w:sz w:val="24"/>
          <w:szCs w:val="24"/>
        </w:rPr>
        <w:t>The beneficiary will be notified of the assessment results by the service provider.</w:t>
      </w:r>
    </w:p>
    <w:p w14:paraId="5E059A86" w14:textId="77777777" w:rsidR="00B20DB0" w:rsidRPr="00BD0C79" w:rsidRDefault="00B20DB0">
      <w:pPr>
        <w:jc w:val="both"/>
        <w:rPr>
          <w:rFonts w:ascii="Times New Roman" w:hAnsi="Times New Roman"/>
          <w:sz w:val="24"/>
          <w:szCs w:val="24"/>
        </w:rPr>
      </w:pPr>
      <w:r w:rsidRPr="004B5544">
        <w:rPr>
          <w:rFonts w:ascii="Times New Roman" w:hAnsi="Times New Roman"/>
          <w:sz w:val="24"/>
          <w:szCs w:val="24"/>
        </w:rPr>
        <w:t>OLS language courses</w:t>
      </w:r>
    </w:p>
    <w:p w14:paraId="1805FC78" w14:textId="64C4E668" w:rsidR="00B20DB0" w:rsidRDefault="00B20DB0">
      <w:pPr>
        <w:numPr>
          <w:ilvl w:val="0"/>
          <w:numId w:val="4"/>
        </w:numPr>
        <w:jc w:val="both"/>
        <w:rPr>
          <w:rFonts w:ascii="Times New Roman" w:hAnsi="Times New Roman"/>
          <w:sz w:val="24"/>
          <w:szCs w:val="24"/>
        </w:rPr>
      </w:pPr>
      <w:r>
        <w:rPr>
          <w:rFonts w:ascii="Times New Roman" w:hAnsi="Times New Roman"/>
          <w:sz w:val="24"/>
          <w:szCs w:val="24"/>
        </w:rPr>
        <w:t>Participants must have taken an OLS assessment before they can be awarded a</w:t>
      </w:r>
      <w:r w:rsidR="0147F0CD" w:rsidRPr="007E7CED">
        <w:rPr>
          <w:rFonts w:ascii="Times New Roman" w:hAnsi="Times New Roman"/>
          <w:sz w:val="24"/>
          <w:szCs w:val="24"/>
        </w:rPr>
        <w:t xml:space="preserve">n access </w:t>
      </w:r>
      <w:r>
        <w:rPr>
          <w:rFonts w:ascii="Times New Roman" w:hAnsi="Times New Roman"/>
          <w:sz w:val="24"/>
          <w:szCs w:val="24"/>
        </w:rPr>
        <w:t>to follow an OLS language course</w:t>
      </w:r>
      <w:r w:rsidR="120DE550">
        <w:rPr>
          <w:rFonts w:ascii="Times New Roman" w:hAnsi="Times New Roman"/>
          <w:sz w:val="24"/>
          <w:szCs w:val="24"/>
        </w:rPr>
        <w:t xml:space="preserve"> (if available)</w:t>
      </w:r>
      <w:r>
        <w:rPr>
          <w:rFonts w:ascii="Times New Roman" w:hAnsi="Times New Roman"/>
          <w:sz w:val="24"/>
          <w:szCs w:val="24"/>
        </w:rPr>
        <w:t xml:space="preserve">. </w:t>
      </w:r>
      <w:r w:rsidR="5DD36315">
        <w:rPr>
          <w:rFonts w:ascii="Times New Roman" w:hAnsi="Times New Roman"/>
          <w:sz w:val="24"/>
          <w:szCs w:val="24"/>
        </w:rPr>
        <w:t>A</w:t>
      </w:r>
      <w:r w:rsidR="27A37B24" w:rsidRPr="007E7CED">
        <w:rPr>
          <w:rFonts w:ascii="Times New Roman" w:hAnsi="Times New Roman"/>
          <w:sz w:val="24"/>
          <w:szCs w:val="24"/>
        </w:rPr>
        <w:t>ccesses to</w:t>
      </w:r>
      <w:r>
        <w:rPr>
          <w:rFonts w:ascii="Times New Roman" w:hAnsi="Times New Roman"/>
          <w:sz w:val="24"/>
          <w:szCs w:val="24"/>
        </w:rPr>
        <w:t xml:space="preserve">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r w:rsidR="006C6809" w:rsidRPr="009106ED">
        <w:rPr>
          <w:rFonts w:ascii="Times New Roman" w:hAnsi="Times New Roman"/>
          <w:sz w:val="24"/>
          <w:szCs w:val="24"/>
        </w:rPr>
        <w:t xml:space="preserve">Higher </w:t>
      </w:r>
      <w:r w:rsidR="006C6809">
        <w:rPr>
          <w:rFonts w:ascii="Times New Roman" w:hAnsi="Times New Roman"/>
          <w:sz w:val="24"/>
          <w:szCs w:val="24"/>
        </w:rPr>
        <w:t>e</w:t>
      </w:r>
      <w:r w:rsidR="006C6809" w:rsidRPr="009106ED">
        <w:rPr>
          <w:rFonts w:ascii="Times New Roman" w:hAnsi="Times New Roman"/>
          <w:sz w:val="24"/>
          <w:szCs w:val="24"/>
        </w:rPr>
        <w:t>ducation mobility participants can express their interest in following the OLS language course in their main language of mobility and/or the local language of the destination country (if applicable</w:t>
      </w:r>
      <w:r w:rsidR="006C6809">
        <w:rPr>
          <w:rFonts w:ascii="Times New Roman" w:hAnsi="Times New Roman"/>
          <w:sz w:val="24"/>
          <w:szCs w:val="24"/>
        </w:rPr>
        <w:t>) upon completing their language assessment</w:t>
      </w:r>
      <w:r w:rsidR="006C6809" w:rsidRPr="009106ED">
        <w:rPr>
          <w:rFonts w:ascii="Times New Roman" w:hAnsi="Times New Roman"/>
          <w:sz w:val="24"/>
          <w:szCs w:val="24"/>
        </w:rPr>
        <w:t>.</w:t>
      </w:r>
    </w:p>
    <w:p w14:paraId="38B34FC0" w14:textId="053ECE93"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OLS course </w:t>
      </w:r>
      <w:r w:rsidR="120DE550">
        <w:rPr>
          <w:rFonts w:ascii="Times New Roman" w:hAnsi="Times New Roman"/>
          <w:sz w:val="24"/>
          <w:szCs w:val="24"/>
        </w:rPr>
        <w:t xml:space="preserve">accesses </w:t>
      </w:r>
      <w:r w:rsidR="005D5EBF">
        <w:rPr>
          <w:rFonts w:ascii="Times New Roman" w:hAnsi="Times New Roman"/>
          <w:sz w:val="24"/>
          <w:szCs w:val="24"/>
        </w:rPr>
        <w:t>must</w:t>
      </w:r>
      <w:r w:rsidR="00B20DB0">
        <w:rPr>
          <w:rFonts w:ascii="Times New Roman" w:hAnsi="Times New Roman"/>
          <w:sz w:val="24"/>
          <w:szCs w:val="24"/>
        </w:rPr>
        <w:t xml:space="preserve"> be distributed among the participants according to their needs. All participants having taken the language assessment have the opportunity to follow a language course</w:t>
      </w:r>
      <w:r w:rsidR="0060317E">
        <w:rPr>
          <w:rFonts w:ascii="Times New Roman" w:hAnsi="Times New Roman"/>
          <w:sz w:val="24"/>
          <w:szCs w:val="24"/>
        </w:rPr>
        <w:t>,</w:t>
      </w:r>
      <w:r>
        <w:rPr>
          <w:rFonts w:ascii="Times New Roman" w:hAnsi="Times New Roman"/>
          <w:sz w:val="24"/>
          <w:szCs w:val="24"/>
        </w:rPr>
        <w:t xml:space="preserve"> if the required language and level is available in the OLS tool</w:t>
      </w:r>
      <w:r w:rsidR="00B20DB0">
        <w:rPr>
          <w:rFonts w:ascii="Times New Roman" w:hAnsi="Times New Roman"/>
          <w:sz w:val="24"/>
          <w:szCs w:val="24"/>
        </w:rPr>
        <w:t xml:space="preserve">. </w:t>
      </w:r>
    </w:p>
    <w:p w14:paraId="52074F84" w14:textId="5E506CE0" w:rsidR="00B20DB0" w:rsidRDefault="009B1308">
      <w:pPr>
        <w:numPr>
          <w:ilvl w:val="0"/>
          <w:numId w:val="4"/>
        </w:numPr>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articipants with level B2 or higher </w:t>
      </w:r>
      <w:r>
        <w:rPr>
          <w:rFonts w:ascii="Times New Roman" w:hAnsi="Times New Roman"/>
          <w:sz w:val="24"/>
          <w:szCs w:val="24"/>
        </w:rPr>
        <w:t xml:space="preserve">in their main language of instruction or work (according to the result of </w:t>
      </w:r>
      <w:r w:rsidR="00B20DB0">
        <w:rPr>
          <w:rFonts w:ascii="Times New Roman" w:hAnsi="Times New Roman"/>
          <w:sz w:val="24"/>
          <w:szCs w:val="24"/>
        </w:rPr>
        <w:t>the language assessment</w:t>
      </w:r>
      <w:r>
        <w:rPr>
          <w:rFonts w:ascii="Times New Roman" w:hAnsi="Times New Roman"/>
          <w:sz w:val="24"/>
          <w:szCs w:val="24"/>
        </w:rPr>
        <w:t>)</w:t>
      </w:r>
      <w:r w:rsidR="00B20DB0">
        <w:rPr>
          <w:rFonts w:ascii="Times New Roman" w:hAnsi="Times New Roman"/>
          <w:sz w:val="24"/>
          <w:szCs w:val="24"/>
        </w:rPr>
        <w:t xml:space="preserve"> have the opportunity to follow an OLS course either in that language or in the local language of the country, provided it is available in the OLS. It is up to the beneficiary to indicate this choice in the OLS</w:t>
      </w:r>
      <w:r>
        <w:rPr>
          <w:rFonts w:ascii="Times New Roman" w:hAnsi="Times New Roman"/>
          <w:sz w:val="24"/>
          <w:szCs w:val="24"/>
        </w:rPr>
        <w:t xml:space="preserve"> tool</w:t>
      </w:r>
      <w:r w:rsidR="00B20DB0">
        <w:rPr>
          <w:rFonts w:ascii="Times New Roman" w:hAnsi="Times New Roman"/>
          <w:sz w:val="24"/>
          <w:szCs w:val="24"/>
        </w:rPr>
        <w:t>.</w:t>
      </w:r>
    </w:p>
    <w:p w14:paraId="7D8261D4" w14:textId="558793F3"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OLS language course </w:t>
      </w:r>
      <w:r w:rsidR="6EBCFE38">
        <w:rPr>
          <w:rFonts w:ascii="Times New Roman" w:hAnsi="Times New Roman"/>
          <w:sz w:val="24"/>
          <w:szCs w:val="24"/>
        </w:rPr>
        <w:t xml:space="preserve">accesses </w:t>
      </w:r>
      <w:r>
        <w:rPr>
          <w:rFonts w:ascii="Times New Roman" w:hAnsi="Times New Roman"/>
          <w:sz w:val="24"/>
          <w:szCs w:val="24"/>
        </w:rPr>
        <w:t xml:space="preserve">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assessment </w:t>
      </w:r>
      <w:r w:rsidR="00E81164">
        <w:rPr>
          <w:rFonts w:ascii="Times New Roman" w:hAnsi="Times New Roman"/>
          <w:sz w:val="24"/>
          <w:szCs w:val="24"/>
        </w:rPr>
        <w:t>and</w:t>
      </w:r>
      <w:r w:rsidR="007D5954">
        <w:rPr>
          <w:rFonts w:ascii="Times New Roman" w:hAnsi="Times New Roman"/>
          <w:sz w:val="24"/>
          <w:szCs w:val="24"/>
        </w:rPr>
        <w:t xml:space="preserve"> the end of the mobility activity.</w:t>
      </w:r>
    </w:p>
    <w:p w14:paraId="0DEFEAEB" w14:textId="4D43B41B"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49236BD">
        <w:rPr>
          <w:rFonts w:ascii="Times New Roman" w:hAnsi="Times New Roman"/>
          <w:sz w:val="24"/>
          <w:szCs w:val="24"/>
        </w:rPr>
        <w:t xml:space="preserve">accesses </w:t>
      </w:r>
      <w:r>
        <w:rPr>
          <w:rFonts w:ascii="Times New Roman" w:hAnsi="Times New Roman"/>
          <w:sz w:val="24"/>
          <w:szCs w:val="24"/>
        </w:rPr>
        <w:t>on the basis of the information provided by the service provider.</w:t>
      </w:r>
    </w:p>
    <w:p w14:paraId="4813F83C" w14:textId="3961600D" w:rsidR="00B20DB0" w:rsidRPr="007E7CED" w:rsidRDefault="00B20DB0" w:rsidP="457D9E6F">
      <w:pPr>
        <w:numPr>
          <w:ilvl w:val="0"/>
          <w:numId w:val="4"/>
        </w:numPr>
        <w:jc w:val="both"/>
        <w:rPr>
          <w:rFonts w:ascii="Times New Roman" w:hAnsi="Times New Roman"/>
          <w:i/>
          <w:iCs/>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w:t>
      </w:r>
      <w:r w:rsidR="049236BD">
        <w:rPr>
          <w:rFonts w:ascii="Times New Roman" w:hAnsi="Times New Roman"/>
          <w:sz w:val="24"/>
          <w:szCs w:val="24"/>
        </w:rPr>
        <w:t>accesse</w:t>
      </w:r>
      <w:r>
        <w:rPr>
          <w:rFonts w:ascii="Times New Roman" w:hAnsi="Times New Roman"/>
          <w:sz w:val="24"/>
          <w:szCs w:val="24"/>
        </w:rPr>
        <w:t>s are actively used by the selected participants.</w:t>
      </w:r>
    </w:p>
    <w:p w14:paraId="4126FED9" w14:textId="505811EA" w:rsidR="00B20DB0" w:rsidRDefault="00B20DB0">
      <w:pPr>
        <w:jc w:val="both"/>
        <w:rPr>
          <w:rFonts w:ascii="Times New Roman" w:hAnsi="Times New Roman"/>
          <w:sz w:val="24"/>
          <w:szCs w:val="24"/>
        </w:rPr>
      </w:pPr>
      <w:r w:rsidRPr="457D9E6F">
        <w:rPr>
          <w:rFonts w:ascii="Times New Roman" w:hAnsi="Times New Roman"/>
          <w:i/>
          <w:iCs/>
          <w:sz w:val="24"/>
          <w:szCs w:val="24"/>
        </w:rPr>
        <w:t xml:space="preserve">All </w:t>
      </w:r>
      <w:r w:rsidR="457D9E6F" w:rsidRPr="457D9E6F">
        <w:rPr>
          <w:rFonts w:ascii="Times New Roman" w:hAnsi="Times New Roman"/>
          <w:i/>
          <w:iCs/>
          <w:sz w:val="24"/>
          <w:szCs w:val="24"/>
        </w:rPr>
        <w:t>accesses</w:t>
      </w:r>
    </w:p>
    <w:p w14:paraId="100B97A3" w14:textId="759CCCAE" w:rsidR="00B20DB0" w:rsidRPr="00087269" w:rsidRDefault="00E81164" w:rsidP="00087269">
      <w:pPr>
        <w:numPr>
          <w:ilvl w:val="0"/>
          <w:numId w:val="8"/>
        </w:numPr>
        <w:jc w:val="both"/>
        <w:rPr>
          <w:rFonts w:ascii="Times New Roman" w:hAnsi="Times New Roman"/>
          <w:sz w:val="24"/>
          <w:szCs w:val="24"/>
        </w:rPr>
      </w:pPr>
      <w:r>
        <w:rPr>
          <w:rFonts w:ascii="Times New Roman" w:hAnsi="Times New Roman"/>
          <w:sz w:val="24"/>
          <w:szCs w:val="24"/>
        </w:rPr>
        <w:t>By signing the individual mobility grant agreement, m</w:t>
      </w:r>
      <w:r w:rsidR="00B20DB0">
        <w:rPr>
          <w:rFonts w:ascii="Times New Roman" w:hAnsi="Times New Roman"/>
          <w:sz w:val="24"/>
          <w:szCs w:val="24"/>
        </w:rPr>
        <w:t xml:space="preserve">obility participants commit to complete </w:t>
      </w:r>
      <w:r w:rsidR="006C6809">
        <w:rPr>
          <w:rFonts w:ascii="Times New Roman" w:hAnsi="Times New Roman"/>
          <w:sz w:val="24"/>
          <w:szCs w:val="24"/>
        </w:rPr>
        <w:t xml:space="preserve">the </w:t>
      </w:r>
      <w:r w:rsidR="00B20DB0">
        <w:rPr>
          <w:rFonts w:ascii="Times New Roman" w:hAnsi="Times New Roman"/>
          <w:sz w:val="24"/>
          <w:szCs w:val="24"/>
        </w:rPr>
        <w:t>OLS language assessment before the mobility period and to follow the OLS language course, if awarded.</w:t>
      </w:r>
    </w:p>
    <w:p w14:paraId="27C502A9" w14:textId="106EEE93" w:rsidR="00B20DB0" w:rsidRPr="00087269" w:rsidRDefault="00B20DB0" w:rsidP="00087269">
      <w:pPr>
        <w:numPr>
          <w:ilvl w:val="0"/>
          <w:numId w:val="8"/>
        </w:numPr>
        <w:jc w:val="both"/>
        <w:rPr>
          <w:rFonts w:ascii="Times New Roman" w:hAnsi="Times New Roman"/>
          <w:sz w:val="24"/>
          <w:szCs w:val="24"/>
        </w:rPr>
      </w:pPr>
      <w:r>
        <w:rPr>
          <w:rFonts w:ascii="Times New Roman" w:hAnsi="Times New Roman"/>
          <w:sz w:val="24"/>
          <w:szCs w:val="24"/>
        </w:rPr>
        <w:lastRenderedPageBreak/>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 the service provider.</w:t>
      </w:r>
    </w:p>
    <w:p w14:paraId="4C03DAF2" w14:textId="67AEB04E" w:rsidR="00B20DB0" w:rsidRPr="00087269" w:rsidRDefault="00B20DB0" w:rsidP="00087269">
      <w:pPr>
        <w:numPr>
          <w:ilvl w:val="0"/>
          <w:numId w:val="8"/>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w:t>
      </w:r>
      <w:r w:rsidR="457D9E6F">
        <w:rPr>
          <w:rFonts w:ascii="Times New Roman" w:hAnsi="Times New Roman"/>
          <w:sz w:val="24"/>
          <w:szCs w:val="24"/>
        </w:rPr>
        <w:t xml:space="preserve">accesses </w:t>
      </w:r>
      <w:r>
        <w:rPr>
          <w:rFonts w:ascii="Times New Roman" w:hAnsi="Times New Roman"/>
          <w:sz w:val="24"/>
          <w:szCs w:val="24"/>
        </w:rPr>
        <w:t>in the</w:t>
      </w:r>
      <w:r w:rsidR="00E81164">
        <w:rPr>
          <w:rFonts w:ascii="Times New Roman" w:hAnsi="Times New Roman"/>
          <w:sz w:val="24"/>
          <w:szCs w:val="24"/>
        </w:rPr>
        <w:t>ir reports.</w:t>
      </w:r>
      <w:r>
        <w:rPr>
          <w:rFonts w:ascii="Times New Roman" w:hAnsi="Times New Roman"/>
          <w:sz w:val="24"/>
          <w:szCs w:val="24"/>
        </w:rPr>
        <w:t xml:space="preserve"> </w:t>
      </w:r>
    </w:p>
    <w:p w14:paraId="4AF34FAE" w14:textId="3AC8D293" w:rsidR="00B20DB0" w:rsidRPr="00087269" w:rsidRDefault="00B20DB0" w:rsidP="00087269">
      <w:pPr>
        <w:numPr>
          <w:ilvl w:val="0"/>
          <w:numId w:val="8"/>
        </w:numPr>
        <w:jc w:val="both"/>
        <w:rPr>
          <w:rFonts w:ascii="Times New Roman" w:hAnsi="Times New Roman"/>
          <w:sz w:val="24"/>
          <w:szCs w:val="24"/>
          <w:u w:val="single"/>
          <w:lang w:val="en-US"/>
        </w:rPr>
      </w:pPr>
      <w:r>
        <w:rPr>
          <w:rFonts w:ascii="Times New Roman" w:hAnsi="Times New Roman"/>
          <w:sz w:val="24"/>
          <w:szCs w:val="24"/>
        </w:rPr>
        <w:t xml:space="preserve">In case of unused or non-allocated </w:t>
      </w:r>
      <w:r w:rsidR="457D9E6F">
        <w:rPr>
          <w:rFonts w:ascii="Times New Roman" w:hAnsi="Times New Roman"/>
          <w:sz w:val="24"/>
          <w:szCs w:val="24"/>
        </w:rPr>
        <w:t>accesse</w:t>
      </w:r>
      <w:r w:rsidR="06976DFB" w:rsidRPr="007E7CED">
        <w:rPr>
          <w:rFonts w:ascii="Times New Roman" w:hAnsi="Times New Roman"/>
          <w:sz w:val="24"/>
          <w:szCs w:val="24"/>
        </w:rPr>
        <w:t xml:space="preserve">s </w:t>
      </w:r>
      <w:r>
        <w:rPr>
          <w:rFonts w:ascii="Times New Roman" w:hAnsi="Times New Roman"/>
          <w:sz w:val="24"/>
          <w:szCs w:val="24"/>
        </w:rPr>
        <w:t xml:space="preserve">at the time of  </w:t>
      </w:r>
      <w:r w:rsidRPr="00B578BC">
        <w:rPr>
          <w:rFonts w:ascii="Times New Roman" w:hAnsi="Times New Roman"/>
          <w:sz w:val="24"/>
          <w:szCs w:val="24"/>
        </w:rPr>
        <w:t>interim and</w:t>
      </w:r>
      <w:r>
        <w:rPr>
          <w:rFonts w:ascii="Times New Roman" w:hAnsi="Times New Roman"/>
          <w:sz w:val="24"/>
          <w:szCs w:val="24"/>
        </w:rPr>
        <w:t xml:space="preserve"> final 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for the allocation of </w:t>
      </w:r>
      <w:r w:rsidR="06976DFB">
        <w:rPr>
          <w:rFonts w:ascii="Times New Roman" w:hAnsi="Times New Roman"/>
          <w:sz w:val="24"/>
          <w:szCs w:val="24"/>
        </w:rPr>
        <w:t xml:space="preserve">accesses </w:t>
      </w:r>
      <w:r>
        <w:rPr>
          <w:rFonts w:ascii="Times New Roman" w:hAnsi="Times New Roman"/>
          <w:sz w:val="24"/>
          <w:szCs w:val="24"/>
        </w:rPr>
        <w:t xml:space="preserve">awarded to the beneficiary in the subsequent </w:t>
      </w:r>
      <w:r w:rsidRPr="00B578BC">
        <w:rPr>
          <w:rFonts w:ascii="Times New Roman" w:hAnsi="Times New Roman"/>
          <w:sz w:val="24"/>
          <w:szCs w:val="24"/>
        </w:rPr>
        <w:t>call years</w:t>
      </w:r>
      <w:r w:rsidR="009F699B">
        <w:rPr>
          <w:rFonts w:ascii="Times New Roman" w:hAnsi="Times New Roman"/>
          <w:sz w:val="24"/>
          <w:szCs w:val="24"/>
        </w:rPr>
        <w:t>.</w:t>
      </w:r>
    </w:p>
    <w:p w14:paraId="6F425F3D" w14:textId="77777777" w:rsidR="0062612F" w:rsidRPr="007E7CED" w:rsidRDefault="0062612F">
      <w:pPr>
        <w:pStyle w:val="Kop1"/>
        <w:numPr>
          <w:ilvl w:val="0"/>
          <w:numId w:val="125"/>
        </w:numPr>
        <w:rPr>
          <w:u w:val="single"/>
          <w:shd w:val="clear" w:color="auto" w:fill="FFFF00"/>
          <w:lang w:val="en-US"/>
        </w:rPr>
      </w:pPr>
      <w:bookmarkStart w:id="2" w:name="_Toc72322255"/>
      <w:r w:rsidRPr="0062612F">
        <w:t>RULES APPLICABLE FOR THE BUDGET CATEGORIES BASED ON REIMBURSEMENT OF ACTUAL INCURRED COSTS</w:t>
      </w:r>
      <w:bookmarkEnd w:id="2"/>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22618451"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64392E46" w:rsidR="00B20DB0" w:rsidRPr="008D0369" w:rsidRDefault="00D175A2" w:rsidP="008D0369">
      <w:pPr>
        <w:numPr>
          <w:ilvl w:val="0"/>
          <w:numId w:val="18"/>
        </w:numPr>
        <w:spacing w:after="0" w:line="100" w:lineRule="atLeast"/>
        <w:ind w:left="426" w:hanging="426"/>
        <w:jc w:val="both"/>
        <w:rPr>
          <w:rFonts w:ascii="Times New Roman" w:hAnsi="Times New Roman"/>
          <w:b/>
          <w:bCs/>
          <w:sz w:val="24"/>
          <w:szCs w:val="24"/>
          <w:lang w:val="en-US"/>
        </w:rPr>
      </w:pPr>
      <w:r w:rsidRPr="008D0369">
        <w:rPr>
          <w:rFonts w:ascii="Times New Roman" w:hAnsi="Times New Roman"/>
          <w:b/>
          <w:bCs/>
          <w:sz w:val="24"/>
          <w:szCs w:val="24"/>
          <w:u w:val="single"/>
        </w:rPr>
        <w:lastRenderedPageBreak/>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1D0ADA8" w14:textId="7CB879B8" w:rsidR="000D6FDD" w:rsidRPr="000D6FDD" w:rsidRDefault="008C2637" w:rsidP="008D03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 xml:space="preserve">Eligible costs: </w:t>
      </w:r>
      <w:r w:rsidR="004B2A0A" w:rsidRPr="003B7D90">
        <w:rPr>
          <w:rFonts w:ascii="Times New Roman" w:hAnsi="Times New Roman"/>
          <w:sz w:val="24"/>
          <w:szCs w:val="24"/>
        </w:rPr>
        <w:t>These additional costs are those directly related to participants with fewer opportunities</w:t>
      </w:r>
      <w:r w:rsidR="004B2A0A" w:rsidRPr="00722E1D">
        <w:rPr>
          <w:rFonts w:ascii="Times New Roman" w:hAnsi="Times New Roman"/>
          <w:sz w:val="24"/>
          <w:szCs w:val="24"/>
        </w:rPr>
        <w:t xml:space="preserve"> </w:t>
      </w:r>
      <w:r w:rsidR="004B2A0A">
        <w:rPr>
          <w:rFonts w:ascii="Times New Roman" w:hAnsi="Times New Roman"/>
          <w:sz w:val="24"/>
          <w:szCs w:val="24"/>
        </w:rPr>
        <w:t>and their accompanying persons</w:t>
      </w:r>
      <w:r w:rsidR="004B2A0A" w:rsidRPr="003B7D90">
        <w:rPr>
          <w:rFonts w:ascii="Times New Roman" w:hAnsi="Times New Roman"/>
          <w:sz w:val="24"/>
          <w:szCs w:val="24"/>
        </w:rPr>
        <w:t>, which cannot be covered through the top-up amount for individual support for participants with fewer opportunities. In particular these costs aim at covering the extra financial support required for participants with physical, mental or health related conditions to allow their participation in the mobility as well as in preparatory visits.</w:t>
      </w:r>
    </w:p>
    <w:p w14:paraId="2BB02192" w14:textId="77777777" w:rsidR="000D6FDD" w:rsidRDefault="000D6FDD" w:rsidP="008C2637">
      <w:pPr>
        <w:pStyle w:val="Lijstalinea"/>
        <w:tabs>
          <w:tab w:val="left" w:pos="851"/>
        </w:tabs>
        <w:ind w:left="851"/>
        <w:jc w:val="both"/>
        <w:rPr>
          <w:rFonts w:ascii="Times New Roman" w:hAnsi="Times New Roman"/>
          <w:sz w:val="24"/>
          <w:szCs w:val="24"/>
        </w:rPr>
      </w:pPr>
    </w:p>
    <w:p w14:paraId="5B22FFC3" w14:textId="1264FB40" w:rsidR="00A72817" w:rsidRPr="001A6C54" w:rsidRDefault="002575FF" w:rsidP="008C2637">
      <w:pPr>
        <w:pStyle w:val="Lijstalinea"/>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w:t>
      </w:r>
      <w:r w:rsidR="00A01539">
        <w:rPr>
          <w:rFonts w:ascii="Times New Roman" w:hAnsi="Times New Roman"/>
          <w:sz w:val="24"/>
          <w:szCs w:val="24"/>
        </w:rPr>
        <w:t>7</w:t>
      </w:r>
      <w:r w:rsidRPr="008F615B">
        <w:rPr>
          <w:rFonts w:ascii="Times New Roman" w:hAnsi="Times New Roman"/>
          <w:sz w:val="24"/>
          <w:szCs w:val="24"/>
        </w:rPr>
        <w:t>.</w:t>
      </w:r>
    </w:p>
    <w:p w14:paraId="68BAD1B3" w14:textId="77777777" w:rsidR="00A72817" w:rsidRPr="00A91FE9" w:rsidRDefault="00A72817" w:rsidP="008C2637">
      <w:pPr>
        <w:pStyle w:val="Lijstalinea"/>
        <w:tabs>
          <w:tab w:val="left" w:pos="851"/>
        </w:tabs>
        <w:ind w:left="851" w:hanging="491"/>
        <w:jc w:val="both"/>
        <w:rPr>
          <w:rFonts w:ascii="Times New Roman" w:hAnsi="Times New Roman"/>
          <w:sz w:val="24"/>
          <w:szCs w:val="24"/>
        </w:rPr>
      </w:pPr>
    </w:p>
    <w:p w14:paraId="18C11761" w14:textId="462E5664"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Supporting documents</w:t>
      </w:r>
      <w:r w:rsidR="0082371E">
        <w:rPr>
          <w:rFonts w:ascii="Times New Roman" w:hAnsi="Times New Roman"/>
          <w:sz w:val="24"/>
          <w:szCs w:val="24"/>
        </w:rPr>
        <w:t xml:space="preserve">: </w:t>
      </w:r>
      <w:r w:rsidR="009B4CBF">
        <w:rPr>
          <w:rFonts w:ascii="Times New Roman" w:hAnsi="Times New Roman"/>
          <w:sz w:val="24"/>
          <w:szCs w:val="24"/>
        </w:rPr>
        <w:t>d</w:t>
      </w:r>
      <w:r w:rsidR="009B4CBF">
        <w:rPr>
          <w:rFonts w:ascii="Times New Roman" w:eastAsia="Times New Roman" w:hAnsi="Times New Roman"/>
          <w:color w:val="000000"/>
          <w:sz w:val="24"/>
          <w:szCs w:val="24"/>
        </w:rPr>
        <w:t>ocumentation justifying the need for inclusion support</w:t>
      </w:r>
      <w:r w:rsidR="009B4CBF" w:rsidRPr="00087269">
        <w:rPr>
          <w:rFonts w:ascii="Times New Roman" w:eastAsia="Times New Roman" w:hAnsi="Times New Roman"/>
          <w:color w:val="000000"/>
          <w:sz w:val="24"/>
          <w:szCs w:val="24"/>
        </w:rPr>
        <w:t xml:space="preserve"> </w:t>
      </w:r>
      <w:r w:rsidR="009B4CBF">
        <w:rPr>
          <w:rFonts w:ascii="Times New Roman" w:eastAsia="Times New Roman" w:hAnsi="Times New Roman"/>
          <w:color w:val="000000"/>
          <w:sz w:val="24"/>
          <w:szCs w:val="24"/>
        </w:rPr>
        <w:t xml:space="preserve">for the participant </w:t>
      </w:r>
      <w:r w:rsidR="009B4CBF" w:rsidRPr="00087269">
        <w:rPr>
          <w:rFonts w:ascii="Times New Roman" w:eastAsia="Times New Roman" w:hAnsi="Times New Roman"/>
          <w:color w:val="000000"/>
          <w:sz w:val="24"/>
          <w:szCs w:val="24"/>
        </w:rPr>
        <w:t xml:space="preserve">signed by the receiving </w:t>
      </w:r>
      <w:r w:rsidR="009B4CBF">
        <w:rPr>
          <w:rFonts w:ascii="Times New Roman" w:eastAsia="Times New Roman" w:hAnsi="Times New Roman"/>
          <w:color w:val="000000"/>
          <w:sz w:val="24"/>
          <w:szCs w:val="24"/>
        </w:rPr>
        <w:t xml:space="preserve">or sending </w:t>
      </w:r>
      <w:r w:rsidR="009B4CBF" w:rsidRPr="00087269">
        <w:rPr>
          <w:rFonts w:ascii="Times New Roman" w:eastAsia="Times New Roman" w:hAnsi="Times New Roman"/>
          <w:color w:val="000000"/>
          <w:sz w:val="24"/>
          <w:szCs w:val="24"/>
        </w:rPr>
        <w:t>organisation specifying the name of the participant, the purpose of the a</w:t>
      </w:r>
      <w:r w:rsidR="009B4CBF">
        <w:rPr>
          <w:rFonts w:ascii="Times New Roman" w:eastAsia="Times New Roman" w:hAnsi="Times New Roman"/>
          <w:color w:val="000000"/>
          <w:sz w:val="24"/>
          <w:szCs w:val="24"/>
        </w:rPr>
        <w:t>ctivity, as well as its start</w:t>
      </w:r>
      <w:r w:rsidR="009B4CBF" w:rsidRPr="00087269">
        <w:rPr>
          <w:rFonts w:ascii="Times New Roman" w:eastAsia="Times New Roman" w:hAnsi="Times New Roman"/>
          <w:color w:val="000000"/>
          <w:sz w:val="24"/>
          <w:szCs w:val="24"/>
        </w:rPr>
        <w:t xml:space="preserve"> and end</w:t>
      </w:r>
      <w:r w:rsidR="009B4CBF">
        <w:rPr>
          <w:rFonts w:ascii="Times New Roman" w:eastAsia="Times New Roman" w:hAnsi="Times New Roman"/>
          <w:color w:val="000000"/>
          <w:sz w:val="24"/>
          <w:szCs w:val="24"/>
        </w:rPr>
        <w:t xml:space="preserve"> date</w:t>
      </w:r>
      <w:r w:rsidR="00307FC5">
        <w:rPr>
          <w:rFonts w:ascii="Times New Roman" w:eastAsia="Times New Roman" w:hAnsi="Times New Roman"/>
          <w:color w:val="000000"/>
          <w:sz w:val="24"/>
          <w:szCs w:val="24"/>
        </w:rPr>
        <w:t>, documentation of the planned real costs and their approval by the NA,</w:t>
      </w:r>
      <w:r w:rsidR="009B4CBF">
        <w:rPr>
          <w:rFonts w:ascii="Times New Roman" w:eastAsia="Times New Roman" w:hAnsi="Times New Roman"/>
          <w:color w:val="000000"/>
          <w:sz w:val="24"/>
          <w:szCs w:val="24"/>
        </w:rPr>
        <w:t xml:space="preserve"> and</w:t>
      </w:r>
      <w:r w:rsidR="001733B6">
        <w:rPr>
          <w:rFonts w:ascii="Times New Roman" w:hAnsi="Times New Roman"/>
          <w:sz w:val="24"/>
          <w:szCs w:val="24"/>
        </w:rPr>
        <w:t xml:space="preserve">]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496ED2AD" w:rsidR="00B20DB0" w:rsidRPr="008D0369" w:rsidRDefault="00B20DB0" w:rsidP="008D0369">
      <w:pPr>
        <w:numPr>
          <w:ilvl w:val="0"/>
          <w:numId w:val="18"/>
        </w:numPr>
        <w:spacing w:after="0" w:line="100" w:lineRule="atLeast"/>
        <w:ind w:left="426" w:hanging="426"/>
        <w:jc w:val="both"/>
        <w:rPr>
          <w:rFonts w:ascii="Times New Roman" w:hAnsi="Times New Roman"/>
          <w:b/>
          <w:bCs/>
          <w:sz w:val="24"/>
          <w:szCs w:val="24"/>
          <w:u w:val="single"/>
          <w:lang w:val="en-US"/>
        </w:rPr>
      </w:pPr>
      <w:r w:rsidRPr="008D0369">
        <w:rPr>
          <w:rFonts w:ascii="Times New Roman" w:hAnsi="Times New Roman"/>
          <w:b/>
          <w:bCs/>
          <w:sz w:val="24"/>
          <w:szCs w:val="24"/>
          <w:u w:val="single"/>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0BFCB326" w:rsidR="00B20DB0" w:rsidRPr="001B188D" w:rsidRDefault="00B20DB0" w:rsidP="00087269">
      <w:pPr>
        <w:numPr>
          <w:ilvl w:val="0"/>
          <w:numId w:val="22"/>
        </w:numPr>
        <w:spacing w:line="100" w:lineRule="atLeast"/>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jstalinea"/>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jstalinea"/>
        <w:ind w:left="1134"/>
        <w:jc w:val="both"/>
        <w:rPr>
          <w:rFonts w:ascii="Times New Roman" w:hAnsi="Times New Roman"/>
          <w:sz w:val="24"/>
          <w:szCs w:val="24"/>
        </w:rPr>
      </w:pPr>
    </w:p>
    <w:p w14:paraId="4F69CFA5" w14:textId="4780CE51" w:rsidR="00B20DB0" w:rsidRPr="009F56A7" w:rsidRDefault="00B20DB0" w:rsidP="00087269">
      <w:pPr>
        <w:pStyle w:val="Lijstalinea"/>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Pr="00B578BC">
        <w:rPr>
          <w:rFonts w:ascii="Times New Roman" w:hAnsi="Times New Roman"/>
          <w:sz w:val="24"/>
          <w:szCs w:val="24"/>
        </w:rPr>
        <w:t xml:space="preserve">This funding can only be awarded to students and to staff </w:t>
      </w:r>
      <w:r w:rsidR="004E5105" w:rsidRPr="00B578BC">
        <w:rPr>
          <w:rFonts w:ascii="Times New Roman" w:hAnsi="Times New Roman"/>
          <w:sz w:val="24"/>
          <w:szCs w:val="24"/>
        </w:rPr>
        <w:t xml:space="preserve">if they are eligible for the </w:t>
      </w:r>
      <w:r w:rsidR="008C197E">
        <w:rPr>
          <w:rFonts w:ascii="Times New Roman" w:hAnsi="Times New Roman"/>
          <w:sz w:val="24"/>
          <w:szCs w:val="24"/>
        </w:rPr>
        <w:t>separate</w:t>
      </w:r>
      <w:r w:rsidR="008C197E" w:rsidRPr="00B578BC">
        <w:rPr>
          <w:rFonts w:ascii="Times New Roman" w:hAnsi="Times New Roman"/>
          <w:sz w:val="24"/>
          <w:szCs w:val="24"/>
        </w:rPr>
        <w:t xml:space="preserve"> </w:t>
      </w:r>
      <w:r w:rsidR="004E5105" w:rsidRPr="00B578BC">
        <w:rPr>
          <w:rFonts w:ascii="Times New Roman" w:hAnsi="Times New Roman"/>
          <w:sz w:val="24"/>
          <w:szCs w:val="24"/>
        </w:rPr>
        <w:t xml:space="preserve">travel </w:t>
      </w:r>
      <w:r w:rsidR="008C197E">
        <w:rPr>
          <w:rFonts w:ascii="Times New Roman" w:hAnsi="Times New Roman"/>
          <w:sz w:val="24"/>
          <w:szCs w:val="24"/>
        </w:rPr>
        <w:t xml:space="preserve">support </w:t>
      </w:r>
      <w:r w:rsidR="004E5105" w:rsidRPr="00B578BC">
        <w:rPr>
          <w:rFonts w:ascii="Times New Roman" w:hAnsi="Times New Roman"/>
          <w:sz w:val="24"/>
          <w:szCs w:val="24"/>
        </w:rPr>
        <w:t xml:space="preserve">grant </w:t>
      </w:r>
      <w:r w:rsidR="00EA5E7C" w:rsidRPr="00B578BC">
        <w:rPr>
          <w:rFonts w:ascii="Times New Roman" w:hAnsi="Times New Roman"/>
          <w:sz w:val="24"/>
          <w:szCs w:val="24"/>
        </w:rPr>
        <w:t>as specified in Article</w:t>
      </w:r>
      <w:r w:rsidRPr="00B578BC">
        <w:rPr>
          <w:rFonts w:ascii="Times New Roman" w:hAnsi="Times New Roman"/>
          <w:sz w:val="24"/>
          <w:szCs w:val="24"/>
        </w:rPr>
        <w:t xml:space="preserve"> I.2.A</w:t>
      </w:r>
      <w:r w:rsidR="00EA5E7C" w:rsidRPr="00B578BC">
        <w:rPr>
          <w:rFonts w:ascii="Times New Roman" w:hAnsi="Times New Roman"/>
          <w:sz w:val="24"/>
          <w:szCs w:val="24"/>
        </w:rPr>
        <w:t>.</w:t>
      </w:r>
      <w:r w:rsidR="004E5105" w:rsidRPr="00B578BC">
        <w:rPr>
          <w:rFonts w:ascii="Times New Roman" w:hAnsi="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294FC4AF" w14:textId="77777777" w:rsidR="00A72817" w:rsidRDefault="00A72817" w:rsidP="009F56A7">
      <w:pPr>
        <w:pStyle w:val="Lijstalinea"/>
        <w:rPr>
          <w:rFonts w:ascii="Times New Roman" w:hAnsi="Times New Roman"/>
          <w:sz w:val="24"/>
          <w:szCs w:val="24"/>
        </w:rPr>
      </w:pPr>
    </w:p>
    <w:p w14:paraId="74393BF2" w14:textId="11F224C1" w:rsidR="00A72817" w:rsidRPr="00087269" w:rsidRDefault="00F14454" w:rsidP="00087269">
      <w:pPr>
        <w:pStyle w:val="Lijstalinea"/>
        <w:numPr>
          <w:ilvl w:val="0"/>
          <w:numId w:val="24"/>
        </w:numPr>
        <w:ind w:left="1134"/>
        <w:jc w:val="both"/>
        <w:rPr>
          <w:rFonts w:ascii="Times New Roman" w:hAnsi="Times New Roman"/>
          <w:sz w:val="24"/>
          <w:szCs w:val="24"/>
        </w:rPr>
      </w:pPr>
      <w:r>
        <w:rPr>
          <w:rFonts w:ascii="Times New Roman" w:hAnsi="Times New Roman"/>
          <w:sz w:val="24"/>
          <w:szCs w:val="24"/>
        </w:rPr>
        <w:t xml:space="preserve">For exceptional costs for the financial guarantee, the beneficiary may submit a funding request to the NA. </w:t>
      </w:r>
      <w:r w:rsidR="00637C67">
        <w:rPr>
          <w:rFonts w:ascii="Times New Roman" w:hAnsi="Times New Roman"/>
          <w:sz w:val="24"/>
          <w:szCs w:val="24"/>
        </w:rPr>
        <w:t>Funds for exceptional costs support for expensive travel costs, once the participants have been selected, may be made available in two ways. The beneficiary may either submit a funding request to the NA or do a budget tran</w:t>
      </w:r>
      <w:r w:rsidR="008A4457">
        <w:rPr>
          <w:rFonts w:ascii="Times New Roman" w:hAnsi="Times New Roman"/>
          <w:sz w:val="24"/>
          <w:szCs w:val="24"/>
        </w:rPr>
        <w:t>sfer according to article I.</w:t>
      </w:r>
      <w:r w:rsidR="005F36B4">
        <w:rPr>
          <w:rFonts w:ascii="Times New Roman" w:hAnsi="Times New Roman"/>
          <w:sz w:val="24"/>
          <w:szCs w:val="24"/>
        </w:rPr>
        <w:t>18</w:t>
      </w:r>
      <w:r w:rsidR="00A72817">
        <w:rPr>
          <w:rFonts w:ascii="Times New Roman" w:hAnsi="Times New Roman"/>
          <w:sz w:val="24"/>
          <w:szCs w:val="24"/>
        </w:rPr>
        <w:t>.]</w:t>
      </w:r>
      <w:r w:rsidR="00A72817" w:rsidRPr="00B33F7D">
        <w:rPr>
          <w:rFonts w:ascii="Times New Roman" w:eastAsia="Calibri" w:hAnsi="Times New Roman" w:cs="Times New Roman"/>
          <w:sz w:val="24"/>
          <w:szCs w:val="24"/>
        </w:rPr>
        <w:t xml:space="preserve"> </w:t>
      </w:r>
    </w:p>
    <w:p w14:paraId="1341C7CB" w14:textId="555E7B9A" w:rsidR="007F00EB" w:rsidRPr="00087269" w:rsidRDefault="007F00EB" w:rsidP="00087269">
      <w:pPr>
        <w:pStyle w:val="Lijstalinea"/>
        <w:rPr>
          <w:rFonts w:ascii="Times New Roman" w:hAnsi="Times New Roman"/>
          <w:sz w:val="24"/>
          <w:szCs w:val="24"/>
        </w:rPr>
      </w:pPr>
    </w:p>
    <w:p w14:paraId="528797E7" w14:textId="77777777" w:rsidR="005E662F" w:rsidRDefault="005E662F" w:rsidP="00604941">
      <w:pPr>
        <w:pStyle w:val="Lijstalinea"/>
        <w:jc w:val="both"/>
        <w:rPr>
          <w:rFonts w:ascii="Times New Roman" w:eastAsia="Calibri" w:hAnsi="Times New Roman" w:cs="Times New Roman"/>
          <w:sz w:val="24"/>
          <w:szCs w:val="24"/>
        </w:rPr>
      </w:pPr>
    </w:p>
    <w:p w14:paraId="36DB6185" w14:textId="77777777" w:rsidR="00B20DB0" w:rsidRDefault="00B20DB0" w:rsidP="00087269">
      <w:pPr>
        <w:pStyle w:val="Lijstalinea"/>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jstalinea"/>
        <w:jc w:val="both"/>
        <w:rPr>
          <w:rFonts w:ascii="Times New Roman" w:hAnsi="Times New Roman"/>
          <w:sz w:val="24"/>
          <w:szCs w:val="24"/>
        </w:rPr>
      </w:pPr>
    </w:p>
    <w:p w14:paraId="390F3DA8" w14:textId="45D134B4" w:rsidR="00B20DB0" w:rsidRDefault="00417D8C" w:rsidP="00087269">
      <w:pPr>
        <w:pStyle w:val="Lijstalinea"/>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jstalinea"/>
        <w:ind w:left="1134"/>
        <w:jc w:val="both"/>
        <w:rPr>
          <w:rFonts w:ascii="Times New Roman" w:hAnsi="Times New Roman"/>
          <w:sz w:val="24"/>
          <w:szCs w:val="24"/>
        </w:rPr>
      </w:pPr>
    </w:p>
    <w:p w14:paraId="4265EF69" w14:textId="1250BA40" w:rsidR="007F00EB" w:rsidRDefault="00B20DB0" w:rsidP="00087269">
      <w:pPr>
        <w:pStyle w:val="Lijstalinea"/>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00417D8C" w:rsidRPr="007E7CED">
        <w:rPr>
          <w:rFonts w:ascii="Times New Roman" w:hAnsi="Times New Roman"/>
          <w:sz w:val="24"/>
          <w:szCs w:val="24"/>
        </w:rPr>
        <w:t>d</w:t>
      </w:r>
      <w:r w:rsidR="00417D8C" w:rsidRPr="007E7CED">
        <w:rPr>
          <w:rFonts w:ascii="Times New Roman" w:eastAsia="Times New Roman" w:hAnsi="Times New Roman"/>
          <w:color w:val="000000"/>
          <w:sz w:val="24"/>
          <w:szCs w:val="24"/>
        </w:rPr>
        <w:t>ocumentation justifying the need for this grant for the participant signed by the receiving or sending organisation specifying the name of the participant, the purpose of the activity, as well as its start and end date, documentation of the planned real costs and their approval by the NA, and</w:t>
      </w:r>
      <w:r w:rsidR="00417D8C" w:rsidRPr="007E7CED">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087269">
      <w:pPr>
        <w:pStyle w:val="Lijstalinea"/>
        <w:rPr>
          <w:rFonts w:ascii="Times New Roman" w:hAnsi="Times New Roman"/>
          <w:sz w:val="24"/>
          <w:szCs w:val="24"/>
        </w:rPr>
      </w:pPr>
    </w:p>
    <w:p w14:paraId="4B5EB633" w14:textId="1751DC50" w:rsidR="00B20DB0" w:rsidRDefault="00B20DB0" w:rsidP="00087269">
      <w:pPr>
        <w:pStyle w:val="Kop1"/>
        <w:numPr>
          <w:ilvl w:val="0"/>
          <w:numId w:val="125"/>
        </w:numPr>
      </w:pPr>
      <w:bookmarkStart w:id="3" w:name="_Toc72322256"/>
      <w:r w:rsidRPr="0062612F">
        <w:t>CONDITIONS OF ELIGIBILITY OF PROJECT ACTIVITIES</w:t>
      </w:r>
      <w:bookmarkEnd w:id="3"/>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2EB20FF1" w14:textId="497AB2D9" w:rsidR="004004F9" w:rsidRDefault="004004F9" w:rsidP="004004F9">
      <w:pPr>
        <w:jc w:val="both"/>
        <w:rPr>
          <w:rFonts w:ascii="Times New Roman" w:hAnsi="Times New Roman"/>
          <w:sz w:val="24"/>
          <w:szCs w:val="24"/>
        </w:rPr>
      </w:pPr>
      <w:r>
        <w:rPr>
          <w:rFonts w:ascii="Times New Roman" w:hAnsi="Times New Roman"/>
          <w:sz w:val="24"/>
          <w:szCs w:val="24"/>
        </w:rPr>
        <w:t xml:space="preserve"> </w:t>
      </w:r>
      <w:r w:rsidR="00A87E99">
        <w:rPr>
          <w:rFonts w:ascii="Times New Roman" w:hAnsi="Times New Roman"/>
          <w:sz w:val="24"/>
          <w:szCs w:val="24"/>
        </w:rPr>
        <w:t xml:space="preserve">(d) </w:t>
      </w:r>
      <w:r>
        <w:rPr>
          <w:rFonts w:ascii="Times New Roman" w:hAnsi="Times New Roman"/>
          <w:sz w:val="24"/>
          <w:szCs w:val="24"/>
        </w:rPr>
        <w:t xml:space="preserve">The beneficiary is allowed to </w:t>
      </w:r>
      <w:r w:rsidR="00176835">
        <w:rPr>
          <w:rFonts w:ascii="Times New Roman" w:hAnsi="Times New Roman"/>
          <w:sz w:val="24"/>
          <w:szCs w:val="24"/>
        </w:rPr>
        <w:t>use</w:t>
      </w:r>
      <w:r>
        <w:rPr>
          <w:rFonts w:ascii="Times New Roman" w:hAnsi="Times New Roman"/>
          <w:sz w:val="24"/>
          <w:szCs w:val="24"/>
        </w:rPr>
        <w:t xml:space="preserve"> up to 20% of </w:t>
      </w:r>
      <w:r w:rsidR="00084591">
        <w:rPr>
          <w:rFonts w:ascii="Times New Roman" w:hAnsi="Times New Roman"/>
          <w:sz w:val="24"/>
          <w:szCs w:val="24"/>
        </w:rPr>
        <w:t xml:space="preserve">the latest </w:t>
      </w:r>
      <w:r>
        <w:rPr>
          <w:rFonts w:ascii="Times New Roman" w:hAnsi="Times New Roman"/>
          <w:sz w:val="24"/>
          <w:szCs w:val="24"/>
        </w:rPr>
        <w:t xml:space="preserve">awarded </w:t>
      </w:r>
      <w:r w:rsidR="00176835">
        <w:rPr>
          <w:rFonts w:ascii="Times New Roman" w:hAnsi="Times New Roman"/>
          <w:sz w:val="24"/>
          <w:szCs w:val="24"/>
        </w:rPr>
        <w:t xml:space="preserve">project </w:t>
      </w:r>
      <w:r>
        <w:rPr>
          <w:rFonts w:ascii="Times New Roman" w:hAnsi="Times New Roman"/>
          <w:sz w:val="24"/>
          <w:szCs w:val="24"/>
        </w:rPr>
        <w:t>grant shown</w:t>
      </w:r>
      <w:r w:rsidR="0082371E">
        <w:rPr>
          <w:rFonts w:ascii="Times New Roman" w:hAnsi="Times New Roman"/>
          <w:sz w:val="24"/>
          <w:szCs w:val="24"/>
        </w:rPr>
        <w:br/>
        <w:t xml:space="preserve">      </w:t>
      </w:r>
      <w:r>
        <w:rPr>
          <w:rFonts w:ascii="Times New Roman" w:hAnsi="Times New Roman"/>
          <w:sz w:val="24"/>
          <w:szCs w:val="24"/>
        </w:rPr>
        <w:t xml:space="preserve"> in Article I.3.1. to outgoing student </w:t>
      </w:r>
      <w:r w:rsidR="00084591">
        <w:rPr>
          <w:rFonts w:ascii="Times New Roman" w:hAnsi="Times New Roman"/>
          <w:sz w:val="24"/>
          <w:szCs w:val="24"/>
        </w:rPr>
        <w:t>and staff mobility to Partner C</w:t>
      </w:r>
      <w:r>
        <w:rPr>
          <w:rFonts w:ascii="Times New Roman" w:hAnsi="Times New Roman"/>
          <w:sz w:val="24"/>
          <w:szCs w:val="24"/>
        </w:rPr>
        <w:t>ountries</w:t>
      </w:r>
      <w:r w:rsidR="00084591">
        <w:rPr>
          <w:rFonts w:ascii="Times New Roman" w:hAnsi="Times New Roman"/>
          <w:sz w:val="24"/>
          <w:szCs w:val="24"/>
        </w:rPr>
        <w:t xml:space="preserve"> (the budget </w:t>
      </w:r>
      <w:r w:rsidR="00084591">
        <w:rPr>
          <w:rFonts w:ascii="Times New Roman" w:hAnsi="Times New Roman"/>
          <w:sz w:val="24"/>
          <w:szCs w:val="24"/>
        </w:rPr>
        <w:lastRenderedPageBreak/>
        <w:t xml:space="preserve">share for international mobility). The following </w:t>
      </w:r>
      <w:r>
        <w:rPr>
          <w:rFonts w:ascii="Times New Roman" w:hAnsi="Times New Roman"/>
          <w:sz w:val="24"/>
          <w:szCs w:val="24"/>
        </w:rPr>
        <w:t xml:space="preserve">budget categories </w:t>
      </w:r>
      <w:r w:rsidR="00084591">
        <w:rPr>
          <w:rFonts w:ascii="Times New Roman" w:hAnsi="Times New Roman"/>
          <w:sz w:val="24"/>
          <w:szCs w:val="24"/>
        </w:rPr>
        <w:t>are counted in this budget share</w:t>
      </w:r>
      <w:r>
        <w:rPr>
          <w:rFonts w:ascii="Times New Roman" w:hAnsi="Times New Roman"/>
          <w:sz w:val="24"/>
          <w:szCs w:val="24"/>
        </w:rPr>
        <w:t>:</w:t>
      </w:r>
    </w:p>
    <w:p w14:paraId="001A6573" w14:textId="6F0CFA1A" w:rsidR="004004F9" w:rsidRDefault="00A87E99" w:rsidP="004004F9">
      <w:pPr>
        <w:pStyle w:val="Lijstalinea"/>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s</w:t>
      </w:r>
      <w:r w:rsidR="004004F9">
        <w:rPr>
          <w:rFonts w:ascii="Times New Roman" w:hAnsi="Times New Roman" w:cs="Times New Roman"/>
          <w:sz w:val="24"/>
          <w:szCs w:val="24"/>
        </w:rPr>
        <w:t>tudent mobility</w:t>
      </w:r>
      <w:r>
        <w:rPr>
          <w:rFonts w:ascii="Times New Roman" w:hAnsi="Times New Roman" w:cs="Times New Roman"/>
          <w:sz w:val="24"/>
          <w:szCs w:val="24"/>
        </w:rPr>
        <w:t xml:space="preserve"> grants:</w:t>
      </w:r>
      <w:r w:rsidR="004004F9">
        <w:rPr>
          <w:rFonts w:ascii="Times New Roman" w:hAnsi="Times New Roman" w:cs="Times New Roman"/>
          <w:sz w:val="24"/>
          <w:szCs w:val="24"/>
        </w:rPr>
        <w:t xml:space="preserve"> </w:t>
      </w:r>
      <w:r>
        <w:rPr>
          <w:rFonts w:ascii="Times New Roman" w:hAnsi="Times New Roman" w:cs="Times New Roman"/>
          <w:sz w:val="24"/>
          <w:szCs w:val="24"/>
        </w:rPr>
        <w:t>individual support and travel support</w:t>
      </w:r>
    </w:p>
    <w:p w14:paraId="0FB2988A" w14:textId="7D8A99CB" w:rsidR="004004F9" w:rsidRDefault="00A87E99" w:rsidP="004004F9">
      <w:pPr>
        <w:pStyle w:val="Lijstalinea"/>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International s</w:t>
      </w:r>
      <w:r w:rsidR="004004F9">
        <w:rPr>
          <w:rFonts w:ascii="Times New Roman" w:hAnsi="Times New Roman" w:cs="Times New Roman"/>
          <w:sz w:val="24"/>
          <w:szCs w:val="24"/>
        </w:rPr>
        <w:t xml:space="preserve">taff mobility </w:t>
      </w:r>
      <w:r>
        <w:rPr>
          <w:rFonts w:ascii="Times New Roman" w:hAnsi="Times New Roman" w:cs="Times New Roman"/>
          <w:sz w:val="24"/>
          <w:szCs w:val="24"/>
        </w:rPr>
        <w:t>grants: individual support and travel support</w:t>
      </w:r>
    </w:p>
    <w:p w14:paraId="51929C9B" w14:textId="7367FAA2" w:rsidR="004004F9" w:rsidRDefault="004004F9" w:rsidP="004004F9">
      <w:pPr>
        <w:pStyle w:val="Lijstalinea"/>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Mobility organisational support</w:t>
      </w:r>
      <w:r w:rsidR="00D14B79">
        <w:rPr>
          <w:rFonts w:ascii="Times New Roman" w:hAnsi="Times New Roman" w:cs="Times New Roman"/>
          <w:sz w:val="24"/>
          <w:szCs w:val="24"/>
        </w:rPr>
        <w:t>:</w:t>
      </w:r>
      <w:r w:rsidR="00A87E99">
        <w:rPr>
          <w:rFonts w:ascii="Times New Roman" w:hAnsi="Times New Roman" w:cs="Times New Roman"/>
          <w:sz w:val="24"/>
          <w:szCs w:val="24"/>
        </w:rPr>
        <w:t xml:space="preserve"> </w:t>
      </w:r>
      <w:r w:rsidR="00176835">
        <w:rPr>
          <w:rFonts w:ascii="Times New Roman" w:hAnsi="Times New Roman" w:cs="Times New Roman"/>
          <w:sz w:val="24"/>
          <w:szCs w:val="24"/>
        </w:rPr>
        <w:t>calculated</w:t>
      </w:r>
      <w:r w:rsidR="00A87E99">
        <w:rPr>
          <w:rFonts w:ascii="Times New Roman" w:hAnsi="Times New Roman" w:cs="Times New Roman"/>
          <w:sz w:val="24"/>
          <w:szCs w:val="24"/>
        </w:rPr>
        <w:t xml:space="preserve"> on the </w:t>
      </w:r>
      <w:r w:rsidR="00176835">
        <w:rPr>
          <w:rFonts w:ascii="Times New Roman" w:hAnsi="Times New Roman" w:cs="Times New Roman"/>
          <w:sz w:val="24"/>
          <w:szCs w:val="24"/>
        </w:rPr>
        <w:t>number of international mobilities</w:t>
      </w:r>
      <w:r w:rsidR="00A87E99">
        <w:rPr>
          <w:rFonts w:ascii="Times New Roman" w:hAnsi="Times New Roman" w:cs="Times New Roman"/>
          <w:sz w:val="24"/>
          <w:szCs w:val="24"/>
        </w:rPr>
        <w:t xml:space="preserve"> with</w:t>
      </w:r>
      <w:r w:rsidR="00176835">
        <w:rPr>
          <w:rFonts w:ascii="Times New Roman" w:hAnsi="Times New Roman" w:cs="Times New Roman"/>
          <w:sz w:val="24"/>
          <w:szCs w:val="24"/>
        </w:rPr>
        <w:t xml:space="preserve"> </w:t>
      </w:r>
      <w:r w:rsidR="00A87E99">
        <w:rPr>
          <w:rFonts w:ascii="Times New Roman" w:hAnsi="Times New Roman" w:cs="Times New Roman"/>
          <w:sz w:val="24"/>
          <w:szCs w:val="24"/>
        </w:rPr>
        <w:t>the rate</w:t>
      </w:r>
      <w:r w:rsidR="00176835">
        <w:rPr>
          <w:rFonts w:ascii="Times New Roman" w:hAnsi="Times New Roman" w:cs="Times New Roman"/>
          <w:sz w:val="24"/>
          <w:szCs w:val="24"/>
        </w:rPr>
        <w:t xml:space="preserve"> per international mobility</w:t>
      </w:r>
      <w:r w:rsidR="00A87E99">
        <w:rPr>
          <w:rFonts w:ascii="Times New Roman" w:hAnsi="Times New Roman" w:cs="Times New Roman"/>
          <w:sz w:val="24"/>
          <w:szCs w:val="24"/>
        </w:rPr>
        <w:t xml:space="preserve"> being the project’s average mobility organisational support per mobility</w:t>
      </w:r>
    </w:p>
    <w:p w14:paraId="4EF9E2F6" w14:textId="39711319" w:rsidR="00084591" w:rsidRDefault="00084591" w:rsidP="004004F9">
      <w:pPr>
        <w:pStyle w:val="Lijstalinea"/>
        <w:numPr>
          <w:ilvl w:val="0"/>
          <w:numId w:val="135"/>
        </w:numPr>
        <w:suppressAutoHyphens w:val="0"/>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Inclusion support for organisations</w:t>
      </w:r>
    </w:p>
    <w:p w14:paraId="74B61BF3" w14:textId="61E4F12D" w:rsidR="00B20DB0" w:rsidRDefault="00084591">
      <w:pPr>
        <w:jc w:val="both"/>
        <w:rPr>
          <w:rFonts w:ascii="Times New Roman" w:hAnsi="Times New Roman"/>
          <w:sz w:val="24"/>
          <w:szCs w:val="24"/>
        </w:rPr>
      </w:pPr>
      <w:r>
        <w:rPr>
          <w:rFonts w:ascii="Times New Roman" w:hAnsi="Times New Roman"/>
          <w:sz w:val="24"/>
          <w:szCs w:val="24"/>
        </w:rPr>
        <w:t>The real-cost budget categories (grant item</w:t>
      </w:r>
      <w:r w:rsidR="00662BD9">
        <w:rPr>
          <w:rFonts w:ascii="Times New Roman" w:hAnsi="Times New Roman"/>
          <w:sz w:val="24"/>
          <w:szCs w:val="24"/>
        </w:rPr>
        <w:t>s</w:t>
      </w:r>
      <w:r>
        <w:rPr>
          <w:rFonts w:ascii="Times New Roman" w:hAnsi="Times New Roman"/>
          <w:sz w:val="24"/>
          <w:szCs w:val="24"/>
        </w:rPr>
        <w:t xml:space="preserve">) </w:t>
      </w:r>
      <w:r w:rsidR="00662BD9">
        <w:rPr>
          <w:rFonts w:ascii="Times New Roman" w:hAnsi="Times New Roman"/>
          <w:sz w:val="24"/>
          <w:szCs w:val="24"/>
        </w:rPr>
        <w:t>“</w:t>
      </w:r>
      <w:r>
        <w:rPr>
          <w:rFonts w:ascii="Times New Roman" w:hAnsi="Times New Roman"/>
          <w:sz w:val="24"/>
          <w:szCs w:val="24"/>
        </w:rPr>
        <w:t>inclusion support for participants</w:t>
      </w:r>
      <w:r w:rsidR="00662BD9">
        <w:rPr>
          <w:rFonts w:ascii="Times New Roman" w:hAnsi="Times New Roman"/>
          <w:sz w:val="24"/>
          <w:szCs w:val="24"/>
        </w:rPr>
        <w:t>”</w:t>
      </w:r>
      <w:r>
        <w:rPr>
          <w:rFonts w:ascii="Times New Roman" w:hAnsi="Times New Roman"/>
          <w:sz w:val="24"/>
          <w:szCs w:val="24"/>
        </w:rPr>
        <w:t xml:space="preserve"> and </w:t>
      </w:r>
      <w:r w:rsidR="00662BD9">
        <w:rPr>
          <w:rFonts w:ascii="Times New Roman" w:hAnsi="Times New Roman"/>
          <w:sz w:val="24"/>
          <w:szCs w:val="24"/>
        </w:rPr>
        <w:t>“</w:t>
      </w:r>
      <w:r>
        <w:rPr>
          <w:rFonts w:ascii="Times New Roman" w:hAnsi="Times New Roman"/>
          <w:sz w:val="24"/>
          <w:szCs w:val="24"/>
        </w:rPr>
        <w:t>exceptional costs for expensive travel</w:t>
      </w:r>
      <w:r w:rsidR="00662BD9">
        <w:rPr>
          <w:rFonts w:ascii="Times New Roman" w:hAnsi="Times New Roman"/>
          <w:sz w:val="24"/>
          <w:szCs w:val="24"/>
        </w:rPr>
        <w:t>” used for international mobilities</w:t>
      </w:r>
      <w:r>
        <w:rPr>
          <w:rFonts w:ascii="Times New Roman" w:hAnsi="Times New Roman"/>
          <w:sz w:val="24"/>
          <w:szCs w:val="24"/>
        </w:rPr>
        <w:t xml:space="preserve"> are not </w:t>
      </w:r>
      <w:r w:rsidR="00662BD9">
        <w:rPr>
          <w:rFonts w:ascii="Times New Roman" w:hAnsi="Times New Roman"/>
          <w:sz w:val="24"/>
          <w:szCs w:val="24"/>
        </w:rPr>
        <w:t>taken into account in the calculation of</w:t>
      </w:r>
      <w:r>
        <w:rPr>
          <w:rFonts w:ascii="Times New Roman" w:hAnsi="Times New Roman"/>
          <w:sz w:val="24"/>
          <w:szCs w:val="24"/>
        </w:rPr>
        <w:t xml:space="preserve"> </w:t>
      </w:r>
      <w:r w:rsidR="00662BD9">
        <w:rPr>
          <w:rFonts w:ascii="Times New Roman" w:hAnsi="Times New Roman"/>
          <w:sz w:val="24"/>
          <w:szCs w:val="24"/>
        </w:rPr>
        <w:t>the</w:t>
      </w:r>
      <w:r>
        <w:rPr>
          <w:rFonts w:ascii="Times New Roman" w:hAnsi="Times New Roman"/>
          <w:sz w:val="24"/>
          <w:szCs w:val="24"/>
        </w:rPr>
        <w:t xml:space="preserve"> budget share</w:t>
      </w:r>
      <w:r w:rsidR="00662BD9">
        <w:rPr>
          <w:rFonts w:ascii="Times New Roman" w:hAnsi="Times New Roman"/>
          <w:sz w:val="24"/>
          <w:szCs w:val="24"/>
        </w:rPr>
        <w:t xml:space="preserve"> for international mobility, neither as part of the total project grant nor as part of the reported international mobility funds</w:t>
      </w:r>
      <w:r>
        <w:rPr>
          <w:rFonts w:ascii="Times New Roman" w:hAnsi="Times New Roman"/>
          <w:sz w:val="24"/>
          <w:szCs w:val="24"/>
        </w:rPr>
        <w:t>.</w:t>
      </w:r>
    </w:p>
    <w:p w14:paraId="095B34C3" w14:textId="5DCE878A" w:rsidR="00B20DB0" w:rsidRDefault="00BD0C79" w:rsidP="00087269">
      <w:pPr>
        <w:pStyle w:val="Kop1"/>
        <w:numPr>
          <w:ilvl w:val="0"/>
          <w:numId w:val="125"/>
        </w:numPr>
      </w:pPr>
      <w:bookmarkStart w:id="4" w:name="_Toc72322257"/>
      <w:r>
        <w:t>FINAL REPORT</w:t>
      </w:r>
      <w:r w:rsidR="00B20DB0">
        <w:t xml:space="preserve">  </w:t>
      </w:r>
      <w:bookmarkEnd w:id="4"/>
    </w:p>
    <w:p w14:paraId="061820B4" w14:textId="77777777" w:rsidR="0062612F" w:rsidRPr="00087269" w:rsidRDefault="0062612F" w:rsidP="00087269">
      <w:pPr>
        <w:pStyle w:val="Plattetekst"/>
      </w:pPr>
    </w:p>
    <w:p w14:paraId="5D1B8DBF" w14:textId="0BB0C9E1" w:rsidR="006D6FED" w:rsidRDefault="006D6FED" w:rsidP="00087269">
      <w:pPr>
        <w:jc w:val="both"/>
      </w:pPr>
      <w:r>
        <w:rPr>
          <w:rFonts w:ascii="Times New Roman" w:hAnsi="Times New Roman"/>
          <w:sz w:val="24"/>
          <w:szCs w:val="24"/>
        </w:rPr>
        <w:t>The final report will be assessed in conjunction with the participant reports, using a common set of quality criteria focusing on:</w:t>
      </w:r>
    </w:p>
    <w:p w14:paraId="0519BA79" w14:textId="77777777" w:rsidR="006D6FED" w:rsidRDefault="006D6FED" w:rsidP="00087269">
      <w:pPr>
        <w:numPr>
          <w:ilvl w:val="0"/>
          <w:numId w:val="69"/>
        </w:numPr>
        <w:jc w:val="both"/>
      </w:pPr>
      <w:r>
        <w:rPr>
          <w:rFonts w:ascii="Times New Roman" w:hAnsi="Times New Roman"/>
          <w:sz w:val="24"/>
          <w:szCs w:val="24"/>
        </w:rPr>
        <w:t xml:space="preserve">The extent to which the action was implemented in line with the </w:t>
      </w:r>
      <w:r w:rsidRPr="00B578BC">
        <w:rPr>
          <w:rFonts w:ascii="Times New Roman" w:hAnsi="Times New Roman"/>
          <w:sz w:val="24"/>
          <w:szCs w:val="24"/>
        </w:rPr>
        <w:t>grant agreement</w:t>
      </w:r>
      <w:r>
        <w:rPr>
          <w:rFonts w:ascii="Times New Roman" w:hAnsi="Times New Roman"/>
          <w:sz w:val="24"/>
          <w:szCs w:val="24"/>
        </w:rPr>
        <w:t>.</w:t>
      </w:r>
    </w:p>
    <w:p w14:paraId="47135E84"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 xml:space="preserve">The extent to which the action was implemented in respect of the quality and compliance requirements set out in the </w:t>
      </w:r>
      <w:r w:rsidRPr="00B578BC">
        <w:rPr>
          <w:rFonts w:ascii="Times New Roman" w:hAnsi="Times New Roman"/>
          <w:sz w:val="24"/>
          <w:szCs w:val="24"/>
        </w:rPr>
        <w:t>Erasmus Charter for Higher Education</w:t>
      </w:r>
      <w:r>
        <w:rPr>
          <w:rFonts w:ascii="Times New Roman" w:hAnsi="Times New Roman"/>
          <w:sz w:val="24"/>
          <w:szCs w:val="24"/>
        </w:rPr>
        <w:t>.</w:t>
      </w:r>
    </w:p>
    <w:p w14:paraId="4D1DCE63" w14:textId="0C86E0BD" w:rsidR="006D6FED" w:rsidRDefault="006D6FED" w:rsidP="00087269">
      <w:pPr>
        <w:numPr>
          <w:ilvl w:val="0"/>
          <w:numId w:val="69"/>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1A255503" w14:textId="1B837C26" w:rsidR="006D6FED" w:rsidRDefault="007E6435" w:rsidP="00087269">
      <w:pPr>
        <w:jc w:val="both"/>
        <w:rPr>
          <w:rFonts w:ascii="Times New Roman" w:hAnsi="Times New Roman"/>
          <w:sz w:val="24"/>
          <w:szCs w:val="24"/>
        </w:rPr>
      </w:pPr>
      <w:r>
        <w:rPr>
          <w:rFonts w:ascii="Times New Roman" w:hAnsi="Times New Roman"/>
          <w:sz w:val="24"/>
          <w:szCs w:val="24"/>
        </w:rPr>
        <w:t xml:space="preserve">The final report will be scored on a total of maximum 100 points. </w:t>
      </w:r>
      <w:r w:rsidR="006D6FED">
        <w:rPr>
          <w:rFonts w:ascii="Times New Roman" w:hAnsi="Times New Roman"/>
          <w:sz w:val="24"/>
          <w:szCs w:val="24"/>
        </w:rPr>
        <w:t xml:space="preserve">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6D6FED" w:rsidRPr="00B578BC">
        <w:rPr>
          <w:rFonts w:ascii="Times New Roman" w:hAnsi="Times New Roman"/>
          <w:sz w:val="24"/>
          <w:szCs w:val="24"/>
        </w:rPr>
        <w:t>recommend to the European Commission to withdraw the Erasmus Charter for Higher Education of the beneficiary.</w:t>
      </w:r>
    </w:p>
    <w:p w14:paraId="12094D58" w14:textId="77777777" w:rsidR="007A2A40" w:rsidRDefault="007A2A40" w:rsidP="00087269">
      <w:pPr>
        <w:jc w:val="both"/>
        <w:rPr>
          <w:rFonts w:ascii="Times New Roman" w:hAnsi="Times New Roman"/>
          <w:sz w:val="24"/>
          <w:szCs w:val="24"/>
          <w:highlight w:val="cyan"/>
        </w:rPr>
      </w:pPr>
    </w:p>
    <w:p w14:paraId="3F1FA110" w14:textId="1F34C0CC" w:rsidR="00BD0C79" w:rsidRDefault="00BD0C79" w:rsidP="00087269">
      <w:pPr>
        <w:pStyle w:val="Kop1"/>
        <w:numPr>
          <w:ilvl w:val="0"/>
          <w:numId w:val="125"/>
        </w:numPr>
      </w:pPr>
      <w:bookmarkStart w:id="5" w:name="_Toc72322258"/>
      <w:r>
        <w:lastRenderedPageBreak/>
        <w:t>GRANT REDUCTION FOR POOR, PARTIAL OR LATE IMPLEMENTATION</w:t>
      </w:r>
      <w:bookmarkEnd w:id="5"/>
      <w:r>
        <w:t xml:space="preserve">  </w:t>
      </w:r>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11961282"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934CFFB"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79B613A2" w14:textId="64DB92F5" w:rsidR="00B20DB0" w:rsidRPr="000E18BF" w:rsidRDefault="006D6FED" w:rsidP="008D03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087269">
      <w:pPr>
        <w:pStyle w:val="Kop1"/>
        <w:numPr>
          <w:ilvl w:val="0"/>
          <w:numId w:val="125"/>
        </w:numPr>
        <w:rPr>
          <w:u w:val="single"/>
          <w:shd w:val="clear" w:color="auto" w:fill="00FFFF"/>
        </w:rPr>
      </w:pPr>
      <w:bookmarkStart w:id="6" w:name="_Toc72322259"/>
      <w:r>
        <w:t>GRANT MODIFICATIONS</w:t>
      </w:r>
      <w:bookmarkEnd w:id="6"/>
    </w:p>
    <w:p w14:paraId="591C1D7E" w14:textId="142E5674" w:rsidR="00B20DB0" w:rsidRPr="0062612F" w:rsidRDefault="00B20DB0" w:rsidP="00087269">
      <w:pPr>
        <w:pStyle w:val="Lijstalinea"/>
        <w:rPr>
          <w:u w:val="single"/>
          <w:shd w:val="clear" w:color="auto" w:fill="00FFFF"/>
        </w:rPr>
      </w:pP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76C2CC61" w14:textId="2F4D5F81" w:rsidR="00B20DB0" w:rsidRPr="00B578BC" w:rsidRDefault="00B20DB0" w:rsidP="00B578BC">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w:t>
      </w:r>
    </w:p>
    <w:p w14:paraId="2A278B4B" w14:textId="77777777" w:rsidR="00821EBD" w:rsidRPr="00B578BC" w:rsidRDefault="00821EBD" w:rsidP="00B578BC">
      <w:pPr>
        <w:widowControl w:val="0"/>
        <w:spacing w:after="0" w:line="273" w:lineRule="auto"/>
        <w:ind w:left="426"/>
        <w:jc w:val="both"/>
        <w:rPr>
          <w:rFonts w:ascii="Times New Roman" w:hAnsi="Times New Roman"/>
          <w:sz w:val="24"/>
          <w:szCs w:val="24"/>
        </w:rPr>
      </w:pPr>
    </w:p>
    <w:p w14:paraId="4A177F02" w14:textId="147ECAC6" w:rsidR="00821EBD" w:rsidRPr="00DB349E" w:rsidRDefault="00821EBD" w:rsidP="00B578BC">
      <w:pPr>
        <w:widowControl w:val="0"/>
        <w:spacing w:after="0" w:line="273" w:lineRule="auto"/>
        <w:ind w:left="426"/>
        <w:jc w:val="both"/>
        <w:rPr>
          <w:rFonts w:ascii="Times New Roman" w:hAnsi="Times New Roman"/>
          <w:sz w:val="24"/>
          <w:szCs w:val="24"/>
        </w:rPr>
      </w:pPr>
      <w:r w:rsidRPr="006E022E">
        <w:rPr>
          <w:rFonts w:ascii="Times New Roman" w:hAnsi="Times New Roman"/>
          <w:sz w:val="24"/>
          <w:szCs w:val="24"/>
        </w:rPr>
        <w:t>When the interim report shows a lower number or shorter duration of mobility activities indicating that the Beneficiary will not be able to use fully the awarded grant, the total maximum grant amount indicated in Article I.3.1</w:t>
      </w:r>
      <w:r>
        <w:rPr>
          <w:rFonts w:ascii="Times New Roman" w:hAnsi="Times New Roman"/>
          <w:sz w:val="24"/>
          <w:szCs w:val="24"/>
        </w:rPr>
        <w:t xml:space="preserve"> may be decreased </w:t>
      </w:r>
      <w:r w:rsidR="00901C92">
        <w:rPr>
          <w:rFonts w:ascii="Times New Roman" w:hAnsi="Times New Roman"/>
          <w:sz w:val="24"/>
          <w:szCs w:val="24"/>
        </w:rPr>
        <w:t xml:space="preserve">exceptionally </w:t>
      </w:r>
      <w:r>
        <w:rPr>
          <w:rFonts w:ascii="Times New Roman" w:hAnsi="Times New Roman"/>
          <w:sz w:val="24"/>
          <w:szCs w:val="24"/>
        </w:rPr>
        <w:t>with an amendment signed by the NA</w:t>
      </w:r>
      <w:r w:rsidR="00901C92">
        <w:rPr>
          <w:rFonts w:ascii="Times New Roman" w:hAnsi="Times New Roman"/>
          <w:sz w:val="24"/>
          <w:szCs w:val="24"/>
        </w:rPr>
        <w:t xml:space="preserve"> alone</w:t>
      </w:r>
      <w:r w:rsidRPr="006E022E">
        <w:rPr>
          <w:rFonts w:ascii="Times New Roman" w:hAnsi="Times New Roman"/>
          <w:sz w:val="24"/>
          <w:szCs w:val="24"/>
        </w:rPr>
        <w:t>.</w:t>
      </w:r>
      <w:r>
        <w:rPr>
          <w:rFonts w:ascii="Times New Roman" w:hAnsi="Times New Roman"/>
          <w:sz w:val="24"/>
          <w:szCs w:val="24"/>
        </w:rPr>
        <w:t xml:space="preserve"> The beneficiary will have 30 days to submit his/her comments.</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26098F50"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 xml:space="preserve">(b) Grant increase for </w:t>
      </w:r>
      <w:r w:rsidR="00497D7D">
        <w:rPr>
          <w:rFonts w:ascii="Times New Roman" w:hAnsi="Times New Roman"/>
          <w:sz w:val="24"/>
          <w:szCs w:val="24"/>
          <w:u w:val="single"/>
        </w:rPr>
        <w:t xml:space="preserve">inclusion </w:t>
      </w:r>
      <w:r w:rsidR="00545075">
        <w:rPr>
          <w:rFonts w:ascii="Times New Roman" w:hAnsi="Times New Roman"/>
          <w:sz w:val="24"/>
          <w:szCs w:val="24"/>
          <w:u w:val="single"/>
        </w:rPr>
        <w:t>support and exceptional costs</w:t>
      </w:r>
    </w:p>
    <w:p w14:paraId="7A35DB94" w14:textId="77777777" w:rsidR="00B20DB0" w:rsidRDefault="00B20DB0">
      <w:pPr>
        <w:widowControl w:val="0"/>
        <w:spacing w:after="0" w:line="273" w:lineRule="auto"/>
        <w:jc w:val="both"/>
      </w:pPr>
    </w:p>
    <w:p w14:paraId="7F35AA02" w14:textId="6017F724" w:rsidR="00B20DB0" w:rsidRDefault="00B20DB0" w:rsidP="00087269">
      <w:pPr>
        <w:numPr>
          <w:ilvl w:val="0"/>
          <w:numId w:val="37"/>
        </w:numPr>
        <w:jc w:val="both"/>
        <w:rPr>
          <w:rFonts w:ascii="Times New Roman" w:hAnsi="Times New Roman"/>
          <w:sz w:val="24"/>
          <w:szCs w:val="24"/>
        </w:rPr>
      </w:pPr>
      <w:r>
        <w:rPr>
          <w:rFonts w:ascii="Times New Roman" w:hAnsi="Times New Roman"/>
          <w:sz w:val="24"/>
          <w:szCs w:val="24"/>
        </w:rPr>
        <w:t xml:space="preserve">As there is no provision for requesting </w:t>
      </w:r>
      <w:r w:rsidR="00497D7D">
        <w:rPr>
          <w:rFonts w:ascii="Times New Roman" w:hAnsi="Times New Roman"/>
          <w:sz w:val="24"/>
          <w:szCs w:val="24"/>
        </w:rPr>
        <w:t xml:space="preserve">inclusion </w:t>
      </w:r>
      <w:r>
        <w:rPr>
          <w:rFonts w:ascii="Times New Roman" w:hAnsi="Times New Roman"/>
          <w:sz w:val="24"/>
          <w:szCs w:val="24"/>
        </w:rPr>
        <w:t xml:space="preserve">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F36B4">
        <w:rPr>
          <w:rFonts w:ascii="Times New Roman" w:hAnsi="Times New Roman"/>
          <w:sz w:val="24"/>
          <w:szCs w:val="24"/>
        </w:rPr>
        <w:t xml:space="preserve">inclusion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3D001D12" w14:textId="4655B6DF" w:rsidR="00B20DB0" w:rsidRDefault="00B20DB0" w:rsidP="00087269">
      <w:pPr>
        <w:numPr>
          <w:ilvl w:val="0"/>
          <w:numId w:val="37"/>
        </w:numPr>
        <w:jc w:val="both"/>
        <w:rPr>
          <w:rFonts w:ascii="Times New Roman" w:hAnsi="Times New Roman"/>
          <w:sz w:val="24"/>
          <w:szCs w:val="24"/>
          <w:u w:val="single"/>
          <w:shd w:val="clear" w:color="auto" w:fill="00FFFF"/>
        </w:rPr>
      </w:pPr>
      <w:r>
        <w:rPr>
          <w:rFonts w:ascii="Times New Roman" w:hAnsi="Times New Roman"/>
          <w:sz w:val="24"/>
          <w:szCs w:val="24"/>
        </w:rPr>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p>
    <w:p w14:paraId="5147DEFB" w14:textId="717DF065" w:rsidR="00B20DB0" w:rsidRDefault="00B20DB0" w:rsidP="00087269">
      <w:pPr>
        <w:pStyle w:val="Kop1"/>
        <w:numPr>
          <w:ilvl w:val="0"/>
          <w:numId w:val="125"/>
        </w:numPr>
      </w:pPr>
      <w:bookmarkStart w:id="7" w:name="_Toc72322260"/>
      <w:r>
        <w:t>CHECKS OF GRANT BENEFICIARY AND PROVISION OF SUPPORTING DOCUMENTS</w:t>
      </w:r>
      <w:bookmarkEnd w:id="7"/>
    </w:p>
    <w:p w14:paraId="71858A5B" w14:textId="77777777" w:rsidR="0062612F" w:rsidRPr="0062612F" w:rsidRDefault="0062612F" w:rsidP="00087269">
      <w:pPr>
        <w:pStyle w:val="Platteteks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lastRenderedPageBreak/>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4EF5A557" w:rsidR="000B2784" w:rsidRPr="007E7CED" w:rsidRDefault="000B2784" w:rsidP="55197C96">
      <w:pPr>
        <w:pStyle w:val="Lijstalinea"/>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5194EAFD" w14:textId="08BEE423" w:rsidR="0008165B" w:rsidRDefault="0008165B" w:rsidP="000B2784">
      <w:pPr>
        <w:pStyle w:val="Lijstalinea"/>
        <w:numPr>
          <w:ilvl w:val="1"/>
          <w:numId w:val="40"/>
        </w:numPr>
        <w:jc w:val="both"/>
      </w:pPr>
      <w:r w:rsidRPr="00804DA6">
        <w:rPr>
          <w:rFonts w:ascii="Times New Roman" w:hAnsi="Times New Roman"/>
          <w:kern w:val="1"/>
          <w:sz w:val="24"/>
          <w:szCs w:val="24"/>
        </w:rPr>
        <w:t>Blended intensive programme organisational support</w:t>
      </w:r>
    </w:p>
    <w:p w14:paraId="0921D8E8" w14:textId="4FC68A6C" w:rsidR="00B20DB0" w:rsidRDefault="00B20DB0" w:rsidP="00087269">
      <w:pPr>
        <w:pStyle w:val="Lijstalinea"/>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615CEF6C" w:rsidR="000B2784" w:rsidRDefault="00B20DB0"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56A31A93" w14:textId="55653B43" w:rsidR="00B20DB0" w:rsidRDefault="000B2784" w:rsidP="008D0369">
      <w:pPr>
        <w:pStyle w:val="Lijstalinea"/>
        <w:numPr>
          <w:ilvl w:val="1"/>
          <w:numId w:val="40"/>
        </w:numPr>
        <w:rPr>
          <w:rFonts w:ascii="Times New Roman" w:hAnsi="Times New Roman"/>
          <w:kern w:val="1"/>
          <w:sz w:val="24"/>
          <w:szCs w:val="24"/>
        </w:rPr>
      </w:pPr>
      <w:r w:rsidRPr="008D0369">
        <w:rPr>
          <w:rFonts w:ascii="Times New Roman" w:hAnsi="Times New Roman"/>
          <w:kern w:val="1"/>
          <w:sz w:val="24"/>
          <w:szCs w:val="24"/>
        </w:rPr>
        <w:t>Inclusion support for organisations</w:t>
      </w:r>
      <w:r w:rsidR="0079766B" w:rsidRPr="008D0369">
        <w:rPr>
          <w:rFonts w:ascii="Times New Roman" w:hAnsi="Times New Roman"/>
          <w:kern w:val="1"/>
          <w:sz w:val="24"/>
          <w:szCs w:val="24"/>
        </w:rPr>
        <w:t xml:space="preserve"> </w:t>
      </w:r>
      <w:r w:rsidR="00917B56">
        <w:rPr>
          <w:rFonts w:ascii="Times New Roman" w:hAnsi="Times New Roman"/>
          <w:kern w:val="1"/>
          <w:sz w:val="24"/>
          <w:szCs w:val="24"/>
        </w:rPr>
        <w:br/>
      </w: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440B57DD" w:rsidR="00B20DB0"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jstalinea"/>
        <w:ind w:left="0"/>
        <w:jc w:val="both"/>
        <w:rPr>
          <w:rFonts w:ascii="Times New Roman" w:hAnsi="Times New Roman" w:cs="Times New Roman"/>
          <w:kern w:val="1"/>
          <w:sz w:val="24"/>
          <w:szCs w:val="24"/>
        </w:rPr>
      </w:pP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115223A9" w14:textId="1F3460F7" w:rsidR="00B20DB0"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lastRenderedPageBreak/>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4405FEAF" w14:textId="251626AD"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78C0" w14:textId="77777777" w:rsidR="00E662C6" w:rsidRDefault="00E662C6">
      <w:pPr>
        <w:spacing w:after="0" w:line="240" w:lineRule="auto"/>
      </w:pPr>
      <w:r>
        <w:separator/>
      </w:r>
    </w:p>
  </w:endnote>
  <w:endnote w:type="continuationSeparator" w:id="0">
    <w:p w14:paraId="27D18536" w14:textId="77777777" w:rsidR="00E662C6" w:rsidRDefault="00E662C6">
      <w:pPr>
        <w:spacing w:after="0" w:line="240" w:lineRule="auto"/>
      </w:pPr>
      <w:r>
        <w:continuationSeparator/>
      </w:r>
    </w:p>
  </w:endnote>
  <w:endnote w:type="continuationNotice" w:id="1">
    <w:p w14:paraId="3A29E013" w14:textId="77777777" w:rsidR="00E662C6" w:rsidRDefault="00E662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2FD25C65" w:rsidR="00A74E74" w:rsidRDefault="00A74E74">
    <w:pPr>
      <w:pStyle w:val="Voettekst"/>
      <w:jc w:val="right"/>
    </w:pPr>
    <w:r>
      <w:fldChar w:fldCharType="begin"/>
    </w:r>
    <w:r>
      <w:instrText xml:space="preserve"> PAGE   \* MERGEFORMAT </w:instrText>
    </w:r>
    <w:r>
      <w:fldChar w:fldCharType="separate"/>
    </w:r>
    <w:r w:rsidR="002E7511">
      <w:rPr>
        <w:noProof/>
      </w:rPr>
      <w:t>20</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62C0" w14:textId="77777777" w:rsidR="00E662C6" w:rsidRDefault="00E662C6">
      <w:pPr>
        <w:spacing w:after="0" w:line="240" w:lineRule="auto"/>
      </w:pPr>
      <w:r>
        <w:separator/>
      </w:r>
    </w:p>
  </w:footnote>
  <w:footnote w:type="continuationSeparator" w:id="0">
    <w:p w14:paraId="79410537" w14:textId="77777777" w:rsidR="00E662C6" w:rsidRDefault="00E662C6">
      <w:pPr>
        <w:spacing w:after="0" w:line="240" w:lineRule="auto"/>
      </w:pPr>
      <w:r>
        <w:continuationSeparator/>
      </w:r>
    </w:p>
  </w:footnote>
  <w:footnote w:type="continuationNotice" w:id="1">
    <w:p w14:paraId="060B6EDD" w14:textId="77777777" w:rsidR="00E662C6" w:rsidRDefault="00E662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A74E74" w:rsidRDefault="00A74E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DF62758"/>
    <w:multiLevelType w:val="hybridMultilevel"/>
    <w:tmpl w:val="B6C29E48"/>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2"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5"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6"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9"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1"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2"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4"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6"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20"/>
  </w:num>
  <w:num w:numId="50">
    <w:abstractNumId w:val="115"/>
  </w:num>
  <w:num w:numId="51">
    <w:abstractNumId w:val="78"/>
  </w:num>
  <w:num w:numId="52">
    <w:abstractNumId w:val="77"/>
  </w:num>
  <w:num w:numId="53">
    <w:abstractNumId w:val="97"/>
  </w:num>
  <w:num w:numId="54">
    <w:abstractNumId w:val="119"/>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5"/>
  </w:num>
  <w:num w:numId="66">
    <w:abstractNumId w:val="79"/>
  </w:num>
  <w:num w:numId="67">
    <w:abstractNumId w:val="86"/>
  </w:num>
  <w:num w:numId="68">
    <w:abstractNumId w:val="93"/>
  </w:num>
  <w:num w:numId="69">
    <w:abstractNumId w:val="114"/>
  </w:num>
  <w:num w:numId="70">
    <w:abstractNumId w:val="103"/>
  </w:num>
  <w:num w:numId="71">
    <w:abstractNumId w:val="76"/>
  </w:num>
  <w:num w:numId="72">
    <w:abstractNumId w:val="123"/>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1"/>
  </w:num>
  <w:num w:numId="107">
    <w:abstractNumId w:val="104"/>
  </w:num>
  <w:num w:numId="108">
    <w:abstractNumId w:val="84"/>
  </w:num>
  <w:num w:numId="109">
    <w:abstractNumId w:val="92"/>
  </w:num>
  <w:num w:numId="110">
    <w:abstractNumId w:val="113"/>
  </w:num>
  <w:num w:numId="111">
    <w:abstractNumId w:val="122"/>
  </w:num>
  <w:num w:numId="112">
    <w:abstractNumId w:val="106"/>
  </w:num>
  <w:num w:numId="113">
    <w:abstractNumId w:val="127"/>
  </w:num>
  <w:num w:numId="114">
    <w:abstractNumId w:val="118"/>
  </w:num>
  <w:num w:numId="115">
    <w:abstractNumId w:val="98"/>
  </w:num>
  <w:num w:numId="116">
    <w:abstractNumId w:val="124"/>
  </w:num>
  <w:num w:numId="117">
    <w:abstractNumId w:val="116"/>
  </w:num>
  <w:num w:numId="118">
    <w:abstractNumId w:val="128"/>
  </w:num>
  <w:num w:numId="119">
    <w:abstractNumId w:val="87"/>
  </w:num>
  <w:num w:numId="120">
    <w:abstractNumId w:val="102"/>
  </w:num>
  <w:num w:numId="121">
    <w:abstractNumId w:val="117"/>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6"/>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2"/>
  </w:num>
  <w:num w:numId="135">
    <w:abstractNumId w:val="96"/>
  </w:num>
  <w:num w:numId="136">
    <w:abstractNumId w:val="11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7DF7"/>
    <w:rsid w:val="00020397"/>
    <w:rsid w:val="0002203E"/>
    <w:rsid w:val="00022E3C"/>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5A37"/>
    <w:rsid w:val="00067355"/>
    <w:rsid w:val="0008165B"/>
    <w:rsid w:val="00084591"/>
    <w:rsid w:val="00084EAD"/>
    <w:rsid w:val="000870C1"/>
    <w:rsid w:val="00087269"/>
    <w:rsid w:val="00091DB9"/>
    <w:rsid w:val="00093258"/>
    <w:rsid w:val="00094E20"/>
    <w:rsid w:val="00095CC9"/>
    <w:rsid w:val="000964A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18BF"/>
    <w:rsid w:val="000E3403"/>
    <w:rsid w:val="000E5AA3"/>
    <w:rsid w:val="000F0AD6"/>
    <w:rsid w:val="000F148F"/>
    <w:rsid w:val="000F4278"/>
    <w:rsid w:val="000F5247"/>
    <w:rsid w:val="000F7888"/>
    <w:rsid w:val="00102774"/>
    <w:rsid w:val="00104707"/>
    <w:rsid w:val="001119CE"/>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2AA6"/>
    <w:rsid w:val="00202F1B"/>
    <w:rsid w:val="002038DD"/>
    <w:rsid w:val="002040F1"/>
    <w:rsid w:val="00210322"/>
    <w:rsid w:val="002113E9"/>
    <w:rsid w:val="002119F8"/>
    <w:rsid w:val="002139FC"/>
    <w:rsid w:val="00222850"/>
    <w:rsid w:val="00224037"/>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2D"/>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511"/>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625B0"/>
    <w:rsid w:val="00363DE0"/>
    <w:rsid w:val="00365A26"/>
    <w:rsid w:val="00365AB5"/>
    <w:rsid w:val="00367C21"/>
    <w:rsid w:val="00373203"/>
    <w:rsid w:val="003748CE"/>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528D"/>
    <w:rsid w:val="003D0103"/>
    <w:rsid w:val="003D0496"/>
    <w:rsid w:val="003D2CD1"/>
    <w:rsid w:val="003D6456"/>
    <w:rsid w:val="003D6C08"/>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55E3E"/>
    <w:rsid w:val="00461474"/>
    <w:rsid w:val="0046161A"/>
    <w:rsid w:val="00467701"/>
    <w:rsid w:val="004718FC"/>
    <w:rsid w:val="00474780"/>
    <w:rsid w:val="0047668B"/>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6E4"/>
    <w:rsid w:val="004C377C"/>
    <w:rsid w:val="004C47B9"/>
    <w:rsid w:val="004D3AF8"/>
    <w:rsid w:val="004D5D09"/>
    <w:rsid w:val="004D6CF9"/>
    <w:rsid w:val="004D77CB"/>
    <w:rsid w:val="004E12B9"/>
    <w:rsid w:val="004E24B8"/>
    <w:rsid w:val="004E451F"/>
    <w:rsid w:val="004E5105"/>
    <w:rsid w:val="004E59CC"/>
    <w:rsid w:val="004E5F94"/>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760"/>
    <w:rsid w:val="00612D82"/>
    <w:rsid w:val="00615D39"/>
    <w:rsid w:val="006228FF"/>
    <w:rsid w:val="00622B30"/>
    <w:rsid w:val="00622D23"/>
    <w:rsid w:val="0062612F"/>
    <w:rsid w:val="00626300"/>
    <w:rsid w:val="00626314"/>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77B0E"/>
    <w:rsid w:val="006806A3"/>
    <w:rsid w:val="00682500"/>
    <w:rsid w:val="006861E2"/>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120A"/>
    <w:rsid w:val="007E3218"/>
    <w:rsid w:val="007E41D2"/>
    <w:rsid w:val="007E6435"/>
    <w:rsid w:val="007E7CED"/>
    <w:rsid w:val="007F00EB"/>
    <w:rsid w:val="007F58B3"/>
    <w:rsid w:val="007F6426"/>
    <w:rsid w:val="00801E7F"/>
    <w:rsid w:val="00804DA6"/>
    <w:rsid w:val="008060B2"/>
    <w:rsid w:val="00810EEE"/>
    <w:rsid w:val="00811036"/>
    <w:rsid w:val="00811838"/>
    <w:rsid w:val="00815034"/>
    <w:rsid w:val="00821161"/>
    <w:rsid w:val="00821E8E"/>
    <w:rsid w:val="00821EBD"/>
    <w:rsid w:val="0082371E"/>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76FAC"/>
    <w:rsid w:val="00887C3A"/>
    <w:rsid w:val="00894153"/>
    <w:rsid w:val="00894DE0"/>
    <w:rsid w:val="008A1067"/>
    <w:rsid w:val="008A2BE9"/>
    <w:rsid w:val="008A4457"/>
    <w:rsid w:val="008A7E09"/>
    <w:rsid w:val="008B40EF"/>
    <w:rsid w:val="008B5B11"/>
    <w:rsid w:val="008C0341"/>
    <w:rsid w:val="008C197E"/>
    <w:rsid w:val="008C1C1F"/>
    <w:rsid w:val="008C2637"/>
    <w:rsid w:val="008C48CE"/>
    <w:rsid w:val="008D0369"/>
    <w:rsid w:val="008D0CEF"/>
    <w:rsid w:val="008D27DD"/>
    <w:rsid w:val="008D2F2C"/>
    <w:rsid w:val="008D55F5"/>
    <w:rsid w:val="008E5A9D"/>
    <w:rsid w:val="008E7D42"/>
    <w:rsid w:val="008F0602"/>
    <w:rsid w:val="008F0654"/>
    <w:rsid w:val="008F615B"/>
    <w:rsid w:val="00901C92"/>
    <w:rsid w:val="00903F70"/>
    <w:rsid w:val="00905D28"/>
    <w:rsid w:val="00912FF9"/>
    <w:rsid w:val="00914AF7"/>
    <w:rsid w:val="00917B56"/>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A7CDE"/>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FCF"/>
    <w:rsid w:val="00A12BCD"/>
    <w:rsid w:val="00A1634B"/>
    <w:rsid w:val="00A3280F"/>
    <w:rsid w:val="00A32EF1"/>
    <w:rsid w:val="00A32F92"/>
    <w:rsid w:val="00A3407C"/>
    <w:rsid w:val="00A34B6F"/>
    <w:rsid w:val="00A36220"/>
    <w:rsid w:val="00A36864"/>
    <w:rsid w:val="00A400B6"/>
    <w:rsid w:val="00A42B1F"/>
    <w:rsid w:val="00A432D5"/>
    <w:rsid w:val="00A436BB"/>
    <w:rsid w:val="00A4458A"/>
    <w:rsid w:val="00A47479"/>
    <w:rsid w:val="00A47EA4"/>
    <w:rsid w:val="00A50A22"/>
    <w:rsid w:val="00A516D7"/>
    <w:rsid w:val="00A517F2"/>
    <w:rsid w:val="00A51D28"/>
    <w:rsid w:val="00A53573"/>
    <w:rsid w:val="00A54CC4"/>
    <w:rsid w:val="00A554AA"/>
    <w:rsid w:val="00A565C7"/>
    <w:rsid w:val="00A6498D"/>
    <w:rsid w:val="00A6782D"/>
    <w:rsid w:val="00A706BD"/>
    <w:rsid w:val="00A71C21"/>
    <w:rsid w:val="00A72817"/>
    <w:rsid w:val="00A74E74"/>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6359"/>
    <w:rsid w:val="00AC55A5"/>
    <w:rsid w:val="00AD5548"/>
    <w:rsid w:val="00AD5FB8"/>
    <w:rsid w:val="00AD7199"/>
    <w:rsid w:val="00AD7433"/>
    <w:rsid w:val="00AE0C56"/>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37979"/>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2C12"/>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4B79"/>
    <w:rsid w:val="00D175A2"/>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D84"/>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1BED"/>
    <w:rsid w:val="00E332B8"/>
    <w:rsid w:val="00E33F0A"/>
    <w:rsid w:val="00E412EB"/>
    <w:rsid w:val="00E42470"/>
    <w:rsid w:val="00E42EF0"/>
    <w:rsid w:val="00E44844"/>
    <w:rsid w:val="00E46BE5"/>
    <w:rsid w:val="00E50FB2"/>
    <w:rsid w:val="00E57E45"/>
    <w:rsid w:val="00E662C6"/>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2B02"/>
    <w:rsid w:val="00ED4C26"/>
    <w:rsid w:val="00ED55A1"/>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148E"/>
    <w:rsid w:val="00F62E27"/>
    <w:rsid w:val="00F65312"/>
    <w:rsid w:val="00F7344E"/>
    <w:rsid w:val="00F87693"/>
    <w:rsid w:val="00F919A4"/>
    <w:rsid w:val="00F94446"/>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CF8"/>
    <w:rsid w:val="00FC1E70"/>
    <w:rsid w:val="00FC202D"/>
    <w:rsid w:val="00FC5CB7"/>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454C2729B2C39429C0144C378278EF4" ma:contentTypeVersion="8" ma:contentTypeDescription="Create a new document in this library." ma:contentTypeScope="" ma:versionID="dd1554fab6842481b1152345a43f7b0a">
  <xsd:schema xmlns:xsd="http://www.w3.org/2001/XMLSchema" xmlns:xs="http://www.w3.org/2001/XMLSchema" xmlns:p="http://schemas.microsoft.com/office/2006/metadata/properties" xmlns:ns3="ab5acbb8-d540-4bde-93f8-a15e5c433b31" targetNamespace="http://schemas.microsoft.com/office/2006/metadata/properties" ma:root="true" ma:fieldsID="26b4ee064ee29ee62d6d7f877afa782d" ns3:_="">
    <xsd:import namespace="ab5acbb8-d540-4bde-93f8-a15e5c433b31"/>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acbb8-d540-4bde-93f8-a15e5c433b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C_Collab_Reference xmlns="ab5acbb8-d540-4bde-93f8-a15e5c433b31" xsi:nil="true"/>
    <EC_Collab_DocumentLanguage xmlns="ab5acbb8-d540-4bde-93f8-a15e5c433b31">EN</EC_Collab_DocumentLanguage>
    <EC_Collab_Status xmlns="ab5acbb8-d540-4bde-93f8-a15e5c433b31">Not Started</EC_Collab_Statu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2.xml><?xml version="1.0" encoding="utf-8"?>
<ds:datastoreItem xmlns:ds="http://schemas.openxmlformats.org/officeDocument/2006/customXml" ds:itemID="{06845D56-C39F-40E8-8DAC-0C188C1DF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acbb8-d540-4bde-93f8-a15e5c43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8FFF8-E159-4D84-A05A-0421482AAE4F}">
  <ds:schemaRefs>
    <ds:schemaRef ds:uri="http://schemas.openxmlformats.org/officeDocument/2006/bibliography"/>
  </ds:schemaRefs>
</ds:datastoreItem>
</file>

<file path=customXml/itemProps4.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ab5acbb8-d540-4bde-93f8-a15e5c433b31"/>
  </ds:schemaRefs>
</ds:datastoreItem>
</file>

<file path=customXml/itemProps5.xml><?xml version="1.0" encoding="utf-8"?>
<ds:datastoreItem xmlns:ds="http://schemas.openxmlformats.org/officeDocument/2006/customXml" ds:itemID="{B839BA74-717C-41B4-A336-65BB95E96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5057</Words>
  <Characters>27814</Characters>
  <Application>Microsoft Office Word</Application>
  <DocSecurity>0</DocSecurity>
  <Lines>231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Joy Plokker</cp:lastModifiedBy>
  <cp:revision>7</cp:revision>
  <cp:lastPrinted>2019-12-10T09:09:00Z</cp:lastPrinted>
  <dcterms:created xsi:type="dcterms:W3CDTF">2021-10-20T13:28:00Z</dcterms:created>
  <dcterms:modified xsi:type="dcterms:W3CDTF">2021-10-20T13:35:00Z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0x010100258AA79CEB83498886A3A08681123250006454C2729B2C39429C0144C378278EF4</vt:lpwstr>
  </property>
</Properties>
</file>