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E1B4" w14:textId="77777777" w:rsidR="008E179D" w:rsidRPr="00A91261" w:rsidRDefault="008E179D" w:rsidP="0072048B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A91261">
        <w:rPr>
          <w:rFonts w:ascii="Times New Roman" w:hAnsi="Times New Roman" w:cs="Times New Roman"/>
          <w:smallCaps/>
          <w:sz w:val="44"/>
          <w:szCs w:val="44"/>
        </w:rPr>
        <w:t>Rates applicable for unit contributions</w:t>
      </w:r>
    </w:p>
    <w:p w14:paraId="4C0CE1B5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4C0CE1B6" w14:textId="1CC46C5E" w:rsidR="00997EB1" w:rsidRPr="003A3EC2" w:rsidRDefault="008E179D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A3EC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Key Action 1</w:t>
      </w:r>
      <w:r w:rsidR="00FA7D8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31</w:t>
      </w:r>
      <w:r w:rsidRPr="003A3EC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– Learning Mobility</w:t>
      </w:r>
    </w:p>
    <w:p w14:paraId="4C0CE1B7" w14:textId="77777777" w:rsidR="00A91261" w:rsidRPr="003A3EC2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CE1B8" w14:textId="7F48115A" w:rsidR="008E179D" w:rsidRPr="00F40F01" w:rsidRDefault="00FA7D8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F01">
        <w:rPr>
          <w:rFonts w:ascii="Times New Roman" w:hAnsi="Times New Roman" w:cs="Times New Roman"/>
          <w:b/>
          <w:sz w:val="24"/>
          <w:szCs w:val="24"/>
        </w:rPr>
        <w:t>B</w:t>
      </w:r>
      <w:r w:rsidR="007802D8" w:rsidRPr="00F40F01">
        <w:rPr>
          <w:rFonts w:ascii="Times New Roman" w:hAnsi="Times New Roman" w:cs="Times New Roman"/>
          <w:b/>
          <w:sz w:val="24"/>
          <w:szCs w:val="24"/>
        </w:rPr>
        <w:t>etween Programme Countries</w:t>
      </w:r>
    </w:p>
    <w:p w14:paraId="4C0CE1B9" w14:textId="77777777" w:rsidR="00A91261" w:rsidRPr="007802D8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196B2" w14:textId="03E39668" w:rsidR="00523CFE" w:rsidRPr="002C0BD1" w:rsidRDefault="00C6134E" w:rsidP="002C0BD1">
      <w:pPr>
        <w:pStyle w:val="Lijstalinea"/>
        <w:numPr>
          <w:ilvl w:val="0"/>
          <w:numId w:val="6"/>
        </w:numPr>
        <w:tabs>
          <w:tab w:val="left" w:pos="851"/>
        </w:tabs>
        <w:suppressAutoHyphens/>
        <w:rPr>
          <w:rFonts w:ascii="Times New Roman" w:hAnsi="Times New Roman"/>
          <w:b/>
          <w:sz w:val="24"/>
          <w:szCs w:val="24"/>
          <w:lang w:val="en-US"/>
        </w:rPr>
      </w:pPr>
      <w:r w:rsidRPr="002C0BD1">
        <w:rPr>
          <w:rFonts w:ascii="Times New Roman" w:hAnsi="Times New Roman" w:cs="Times New Roman"/>
          <w:b/>
          <w:sz w:val="24"/>
          <w:szCs w:val="24"/>
        </w:rPr>
        <w:t>Travel</w:t>
      </w:r>
      <w:r w:rsidR="00523CFE" w:rsidRPr="002C0BD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23CFE" w:rsidRPr="002C0BD1">
        <w:rPr>
          <w:rFonts w:ascii="Times New Roman" w:hAnsi="Times New Roman"/>
          <w:b/>
          <w:sz w:val="24"/>
          <w:szCs w:val="24"/>
          <w:lang w:val="en-US"/>
        </w:rPr>
        <w:t xml:space="preserve"> Contribution to the travel costs</w:t>
      </w:r>
      <w:r w:rsidR="003F15A4">
        <w:rPr>
          <w:rFonts w:ascii="Times New Roman" w:hAnsi="Times New Roman"/>
          <w:b/>
          <w:sz w:val="24"/>
          <w:szCs w:val="24"/>
          <w:lang w:val="en-US"/>
        </w:rPr>
        <w:br/>
      </w:r>
    </w:p>
    <w:p w14:paraId="58E5324A" w14:textId="1792C7A3" w:rsidR="003F15A4" w:rsidRPr="002C0BD1" w:rsidRDefault="003F15A4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77B31">
        <w:rPr>
          <w:rFonts w:ascii="Times New Roman" w:hAnsi="Times New Roman"/>
          <w:sz w:val="24"/>
          <w:szCs w:val="24"/>
        </w:rPr>
        <w:t xml:space="preserve">HE students and recent graduates sent by HEIs from outermost </w:t>
      </w:r>
      <w:r>
        <w:rPr>
          <w:rFonts w:ascii="Times New Roman" w:hAnsi="Times New Roman"/>
          <w:sz w:val="24"/>
          <w:szCs w:val="24"/>
        </w:rPr>
        <w:t>regions of EU Members States, Cyprus, Iceland, Malta</w:t>
      </w:r>
      <w:r w:rsidRPr="00F77B31">
        <w:rPr>
          <w:rFonts w:ascii="Times New Roman" w:hAnsi="Times New Roman"/>
          <w:sz w:val="24"/>
          <w:szCs w:val="24"/>
        </w:rPr>
        <w:t xml:space="preserve"> and Overseas Countries and Territories</w:t>
      </w:r>
      <w:r>
        <w:rPr>
          <w:rFonts w:ascii="Times New Roman" w:hAnsi="Times New Roman"/>
          <w:sz w:val="24"/>
          <w:szCs w:val="24"/>
        </w:rPr>
        <w:t xml:space="preserve"> associated to EU Member States and</w:t>
      </w:r>
      <w:r w:rsidRPr="00F77B31">
        <w:rPr>
          <w:rFonts w:ascii="Times New Roman" w:hAnsi="Times New Roman"/>
          <w:sz w:val="24"/>
          <w:szCs w:val="24"/>
        </w:rPr>
        <w:t xml:space="preserve"> who are going to Programme Countries or Partner Countries from Regions 5 or 14, and students and recent graduates with fewer opportunities on short-term mobility: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04022B" w:rsidRPr="000501A2" w14:paraId="4C0CE1C2" w14:textId="00478201" w:rsidTr="0004022B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0" w14:textId="7F6C1FB4" w:rsidR="0004022B" w:rsidRPr="000501A2" w:rsidRDefault="0004022B" w:rsidP="0042169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1" w14:textId="68DEBC42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</w:tcPr>
          <w:p w14:paraId="5253217A" w14:textId="36C934CD" w:rsidR="0004022B" w:rsidRDefault="0004022B" w:rsidP="002C0BD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04022B" w:rsidRPr="000501A2" w14:paraId="4C0CE1C5" w14:textId="5A38193D" w:rsidTr="0004022B">
        <w:trPr>
          <w:trHeight w:val="236"/>
        </w:trPr>
        <w:tc>
          <w:tcPr>
            <w:tcW w:w="1667" w:type="pct"/>
            <w:vAlign w:val="center"/>
          </w:tcPr>
          <w:p w14:paraId="4C0CE1C3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vAlign w:val="center"/>
          </w:tcPr>
          <w:p w14:paraId="4C0CE1C4" w14:textId="2B661AFD" w:rsidR="0004022B" w:rsidRPr="000501A2" w:rsidRDefault="0004022B" w:rsidP="000402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352D322C" w14:textId="77777777" w:rsidR="0004022B" w:rsidRPr="000501A2" w:rsidRDefault="0004022B" w:rsidP="000402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022B" w:rsidRPr="000501A2" w14:paraId="4C0CE1C8" w14:textId="21EA82E0" w:rsidTr="0004022B">
        <w:trPr>
          <w:trHeight w:val="236"/>
        </w:trPr>
        <w:tc>
          <w:tcPr>
            <w:tcW w:w="1667" w:type="pct"/>
            <w:vAlign w:val="center"/>
          </w:tcPr>
          <w:p w14:paraId="4C0CE1C6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vAlign w:val="center"/>
          </w:tcPr>
          <w:p w14:paraId="4C0CE1C7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</w:tcPr>
          <w:p w14:paraId="3CAB8A64" w14:textId="480A48EE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04022B" w:rsidRPr="000501A2" w14:paraId="4C0CE1CB" w14:textId="1BE8EEF4" w:rsidTr="0004022B">
        <w:trPr>
          <w:trHeight w:val="268"/>
        </w:trPr>
        <w:tc>
          <w:tcPr>
            <w:tcW w:w="1667" w:type="pct"/>
            <w:vAlign w:val="center"/>
          </w:tcPr>
          <w:p w14:paraId="4C0CE1C9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vAlign w:val="center"/>
          </w:tcPr>
          <w:p w14:paraId="4C0CE1CA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</w:tcPr>
          <w:p w14:paraId="5223CB33" w14:textId="384E31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04022B" w:rsidRPr="000501A2" w14:paraId="4C0CE1CE" w14:textId="42374516" w:rsidTr="0004022B">
        <w:trPr>
          <w:trHeight w:val="272"/>
        </w:trPr>
        <w:tc>
          <w:tcPr>
            <w:tcW w:w="1667" w:type="pct"/>
            <w:vAlign w:val="center"/>
          </w:tcPr>
          <w:p w14:paraId="4C0CE1CC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vAlign w:val="center"/>
          </w:tcPr>
          <w:p w14:paraId="4C0CE1CD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</w:tcPr>
          <w:p w14:paraId="5D622380" w14:textId="46BA9A48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04022B" w:rsidRPr="000501A2" w14:paraId="4C0CE1D1" w14:textId="18F8BC6B" w:rsidTr="0004022B">
        <w:trPr>
          <w:trHeight w:val="262"/>
        </w:trPr>
        <w:tc>
          <w:tcPr>
            <w:tcW w:w="1667" w:type="pct"/>
            <w:vAlign w:val="center"/>
          </w:tcPr>
          <w:p w14:paraId="4C0CE1CF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vAlign w:val="center"/>
          </w:tcPr>
          <w:p w14:paraId="4C0CE1D0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</w:tcPr>
          <w:p w14:paraId="19612353" w14:textId="3C247DD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04022B" w:rsidRPr="000501A2" w14:paraId="4C0CE1D4" w14:textId="3E94E172" w:rsidTr="0004022B">
        <w:trPr>
          <w:trHeight w:val="280"/>
        </w:trPr>
        <w:tc>
          <w:tcPr>
            <w:tcW w:w="1667" w:type="pct"/>
            <w:vAlign w:val="center"/>
          </w:tcPr>
          <w:p w14:paraId="4C0CE1D2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vAlign w:val="center"/>
          </w:tcPr>
          <w:p w14:paraId="4C0CE1D3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7099B864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022B" w:rsidRPr="000501A2" w14:paraId="4C0CE1D7" w14:textId="5443B655" w:rsidTr="0004022B">
        <w:trPr>
          <w:trHeight w:val="270"/>
        </w:trPr>
        <w:tc>
          <w:tcPr>
            <w:tcW w:w="1667" w:type="pct"/>
            <w:vAlign w:val="center"/>
          </w:tcPr>
          <w:p w14:paraId="4C0CE1D5" w14:textId="77777777" w:rsidR="0004022B" w:rsidRPr="000501A2" w:rsidRDefault="0004022B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vAlign w:val="center"/>
          </w:tcPr>
          <w:p w14:paraId="4C0CE1D6" w14:textId="42625383" w:rsidR="0004022B" w:rsidRPr="000501A2" w:rsidRDefault="0004022B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44B6CB32" w14:textId="77777777" w:rsidR="0004022B" w:rsidRPr="000501A2" w:rsidRDefault="0004022B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207EA530" w14:textId="77777777" w:rsidR="00FA7D84" w:rsidRDefault="00FA7D84" w:rsidP="00B00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CE1D8" w14:textId="367E25D8" w:rsidR="00C6134E" w:rsidRDefault="00B000DD" w:rsidP="00B0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0DD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0DD">
        <w:rPr>
          <w:rFonts w:ascii="Times New Roman" w:hAnsi="Times New Roman"/>
          <w:sz w:val="24"/>
          <w:szCs w:val="24"/>
        </w:rPr>
        <w:t xml:space="preserve">Students and recent graduates who do not receive travel support can opt for green travel. In this case, they will receive a single contribution of </w:t>
      </w:r>
      <w:r w:rsidRPr="00B000DD">
        <w:rPr>
          <w:rFonts w:ascii="Times New Roman" w:hAnsi="Times New Roman"/>
          <w:b/>
          <w:sz w:val="24"/>
          <w:szCs w:val="24"/>
        </w:rPr>
        <w:t>50 EUR</w:t>
      </w:r>
      <w:r w:rsidRPr="00B000DD">
        <w:rPr>
          <w:rFonts w:ascii="Times New Roman" w:hAnsi="Times New Roman"/>
          <w:sz w:val="24"/>
          <w:szCs w:val="24"/>
        </w:rPr>
        <w:t xml:space="preserve"> as a top-up amount to the individual support and up to 4 days of additional individual support to cover travel days for a return trip</w:t>
      </w:r>
      <w:r>
        <w:rPr>
          <w:rFonts w:ascii="Times New Roman" w:hAnsi="Times New Roman"/>
          <w:sz w:val="24"/>
          <w:szCs w:val="24"/>
        </w:rPr>
        <w:t>, if relevant.</w:t>
      </w:r>
    </w:p>
    <w:p w14:paraId="6735362C" w14:textId="77777777" w:rsidR="00FA7D84" w:rsidRDefault="00FA7D84" w:rsidP="00B0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DAE34" w14:textId="77777777" w:rsidR="00B000DD" w:rsidRPr="000501A2" w:rsidRDefault="00B000DD" w:rsidP="00C61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52250" w14:textId="6B9F1D3A" w:rsidR="00B7716A" w:rsidRPr="00B000DD" w:rsidRDefault="00B7716A" w:rsidP="00C6134E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000DD">
        <w:rPr>
          <w:rFonts w:ascii="Times New Roman" w:hAnsi="Times New Roman"/>
          <w:b/>
          <w:sz w:val="24"/>
          <w:szCs w:val="24"/>
        </w:rPr>
        <w:t>Staff mobility</w:t>
      </w:r>
    </w:p>
    <w:p w14:paraId="6D277F16" w14:textId="30AA8BD1" w:rsidR="00B7716A" w:rsidRDefault="00B7716A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B7716A" w:rsidRPr="000501A2" w14:paraId="4F7EEE72" w14:textId="77777777" w:rsidTr="00CF3888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D1527C0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A2E75D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</w:tcPr>
          <w:p w14:paraId="7792A2DD" w14:textId="77777777" w:rsidR="00B7716A" w:rsidRDefault="00B7716A" w:rsidP="00CF388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B7716A" w:rsidRPr="000501A2" w14:paraId="2E330C82" w14:textId="77777777" w:rsidTr="00CF3888">
        <w:trPr>
          <w:trHeight w:val="236"/>
        </w:trPr>
        <w:tc>
          <w:tcPr>
            <w:tcW w:w="1667" w:type="pct"/>
            <w:vAlign w:val="center"/>
          </w:tcPr>
          <w:p w14:paraId="538E767C" w14:textId="50EE17E9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Between 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 and 99 KM:</w:t>
            </w:r>
          </w:p>
        </w:tc>
        <w:tc>
          <w:tcPr>
            <w:tcW w:w="1667" w:type="pct"/>
            <w:vAlign w:val="center"/>
          </w:tcPr>
          <w:p w14:paraId="1B64628B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75252CC2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B7716A" w:rsidRPr="000501A2" w14:paraId="26114733" w14:textId="77777777" w:rsidTr="00CF3888">
        <w:trPr>
          <w:trHeight w:val="236"/>
        </w:trPr>
        <w:tc>
          <w:tcPr>
            <w:tcW w:w="1667" w:type="pct"/>
            <w:vAlign w:val="center"/>
          </w:tcPr>
          <w:p w14:paraId="77739EC8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vAlign w:val="center"/>
          </w:tcPr>
          <w:p w14:paraId="299F4A68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</w:tcPr>
          <w:p w14:paraId="5EF6330C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B7716A" w:rsidRPr="000501A2" w14:paraId="216DA761" w14:textId="77777777" w:rsidTr="00CF3888">
        <w:trPr>
          <w:trHeight w:val="268"/>
        </w:trPr>
        <w:tc>
          <w:tcPr>
            <w:tcW w:w="1667" w:type="pct"/>
            <w:vAlign w:val="center"/>
          </w:tcPr>
          <w:p w14:paraId="7FE54252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vAlign w:val="center"/>
          </w:tcPr>
          <w:p w14:paraId="192E38FB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</w:tcPr>
          <w:p w14:paraId="1D4CABF5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B7716A" w:rsidRPr="000501A2" w14:paraId="46A1B558" w14:textId="77777777" w:rsidTr="00CF3888">
        <w:trPr>
          <w:trHeight w:val="272"/>
        </w:trPr>
        <w:tc>
          <w:tcPr>
            <w:tcW w:w="1667" w:type="pct"/>
            <w:vAlign w:val="center"/>
          </w:tcPr>
          <w:p w14:paraId="06BAF1C2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vAlign w:val="center"/>
          </w:tcPr>
          <w:p w14:paraId="4CD957D2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</w:tcPr>
          <w:p w14:paraId="490B03E8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B7716A" w:rsidRPr="000501A2" w14:paraId="097B2C1E" w14:textId="77777777" w:rsidTr="00CF3888">
        <w:trPr>
          <w:trHeight w:val="262"/>
        </w:trPr>
        <w:tc>
          <w:tcPr>
            <w:tcW w:w="1667" w:type="pct"/>
            <w:vAlign w:val="center"/>
          </w:tcPr>
          <w:p w14:paraId="44B6D78C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vAlign w:val="center"/>
          </w:tcPr>
          <w:p w14:paraId="3577E2E3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</w:tcPr>
          <w:p w14:paraId="5347EDD0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B7716A" w:rsidRPr="000501A2" w14:paraId="4C6D8650" w14:textId="77777777" w:rsidTr="00CF3888">
        <w:trPr>
          <w:trHeight w:val="280"/>
        </w:trPr>
        <w:tc>
          <w:tcPr>
            <w:tcW w:w="1667" w:type="pct"/>
            <w:vAlign w:val="center"/>
          </w:tcPr>
          <w:p w14:paraId="55582F6C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vAlign w:val="center"/>
          </w:tcPr>
          <w:p w14:paraId="332028BD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73C7A0B7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B7716A" w:rsidRPr="000501A2" w14:paraId="41EFB0AF" w14:textId="77777777" w:rsidTr="00CF3888">
        <w:trPr>
          <w:trHeight w:val="270"/>
        </w:trPr>
        <w:tc>
          <w:tcPr>
            <w:tcW w:w="1667" w:type="pct"/>
            <w:vAlign w:val="center"/>
          </w:tcPr>
          <w:p w14:paraId="20C69264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vAlign w:val="center"/>
          </w:tcPr>
          <w:p w14:paraId="7CEACC4F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56ACE590" w14:textId="77777777" w:rsidR="00B7716A" w:rsidRPr="000501A2" w:rsidRDefault="00B7716A" w:rsidP="00CF3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8170EEB" w14:textId="77777777" w:rsidR="00FA7D84" w:rsidRDefault="00FA7D84" w:rsidP="00A07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CE1D9" w14:textId="3593F47C" w:rsidR="00C6134E" w:rsidRPr="00A071B4" w:rsidRDefault="00A071B4" w:rsidP="00A07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Nota bene: </w:t>
      </w:r>
      <w:r w:rsidR="00C6134E" w:rsidRPr="00A071B4">
        <w:rPr>
          <w:rFonts w:ascii="Times New Roman" w:hAnsi="Times New Roman"/>
          <w:sz w:val="24"/>
          <w:szCs w:val="24"/>
        </w:rPr>
        <w:t>the "travel distance" represents the distance between the place of origin and the venue, whereas the "amount" covers the contribution to the travel both to and from the venue.</w:t>
      </w:r>
    </w:p>
    <w:p w14:paraId="3D72C94B" w14:textId="77A10AD9" w:rsidR="00FA7D84" w:rsidRDefault="00FA7D84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782A2768" w14:textId="0436B54C" w:rsidR="00FA7D84" w:rsidRDefault="00FA7D84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41D5E978" w14:textId="466A77A9" w:rsidR="00FA7D84" w:rsidRDefault="00FA7D84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7D7D6AC7" w14:textId="4F765312" w:rsidR="00FA7D84" w:rsidRDefault="00FA7D84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095DC045" w14:textId="6CA5CBAA" w:rsidR="00FA7D84" w:rsidRDefault="00FA7D84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26170B02" w14:textId="77777777" w:rsidR="00FA7D84" w:rsidRPr="000501A2" w:rsidRDefault="00FA7D84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4C0CE1E1" w14:textId="77777777" w:rsidR="009723B4" w:rsidRDefault="009723B4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4C0CE1E2" w14:textId="3993D6AB" w:rsidR="008E179D" w:rsidRPr="002D2A5F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Individual support </w:t>
      </w:r>
      <w:r w:rsidR="00925734">
        <w:rPr>
          <w:rFonts w:ascii="Times New Roman" w:hAnsi="Times New Roman" w:cs="Times New Roman"/>
          <w:b/>
          <w:sz w:val="24"/>
          <w:szCs w:val="24"/>
        </w:rPr>
        <w:t>for physical mobility</w:t>
      </w:r>
      <w:r w:rsidRPr="002D2A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0CE1E3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C0CE1E4" w14:textId="7EC42C92" w:rsidR="00BB4C4B" w:rsidRDefault="00DE37ED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>S</w:t>
      </w:r>
      <w:r w:rsidR="008E179D" w:rsidRPr="00DE37ED">
        <w:rPr>
          <w:rFonts w:ascii="Times New Roman" w:hAnsi="Times New Roman" w:cs="Times New Roman"/>
          <w:u w:val="single"/>
        </w:rPr>
        <w:t xml:space="preserve">taff mobility from Programme Countries </w:t>
      </w:r>
    </w:p>
    <w:p w14:paraId="46BDB3CE" w14:textId="77777777" w:rsidR="00421696" w:rsidRDefault="00421696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C0CE1E5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7"/>
        <w:gridCol w:w="5082"/>
      </w:tblGrid>
      <w:tr w:rsidR="00BB4C4B" w:rsidRPr="0006737B" w14:paraId="4C0CE1E8" w14:textId="77777777" w:rsidTr="002D2A5F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6" w14:textId="77DE3B0E" w:rsidR="003634CF" w:rsidRDefault="003634CF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3AF3C8BF" w14:textId="77777777" w:rsidR="003634CF" w:rsidRPr="003634CF" w:rsidRDefault="003634CF" w:rsidP="003634CF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238C7AA7" w14:textId="74C5BFE8" w:rsidR="00BB4C4B" w:rsidRPr="003634CF" w:rsidRDefault="00BB4C4B" w:rsidP="003634CF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C0CE1E7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Staff from Programme Countries</w:t>
            </w:r>
          </w:p>
        </w:tc>
      </w:tr>
      <w:tr w:rsidR="00BB4C4B" w:rsidRPr="0006737B" w14:paraId="4C0CE1EC" w14:textId="77777777" w:rsidTr="00F40F01">
        <w:trPr>
          <w:cantSplit/>
          <w:trHeight w:val="226"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9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4C0CE1EA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3298A23" w14:textId="2BC0214D" w:rsidR="00BB4C4B" w:rsidRDefault="00BB4C4B" w:rsidP="00F16B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Amount per day in EUR </w:t>
            </w:r>
          </w:p>
          <w:p w14:paraId="4C0CE1EB" w14:textId="2B1A833D" w:rsidR="00FA7D84" w:rsidRPr="00D878F1" w:rsidRDefault="00FA7D84" w:rsidP="00F16B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523CFE" w:rsidRPr="0019773D" w14:paraId="787F2DD8" w14:textId="77777777" w:rsidTr="00F40F01">
        <w:trPr>
          <w:trHeight w:val="1367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5B9D081" w14:textId="32BC2A55" w:rsidR="00523CFE" w:rsidRPr="002C0BD1" w:rsidRDefault="006C4C6A" w:rsidP="00B7716A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nl-NL" w:eastAsia="zh-CN"/>
              </w:rPr>
            </w:pPr>
            <w:r w:rsidRPr="002C0BD1">
              <w:rPr>
                <w:rFonts w:ascii="Calibri" w:eastAsia="Times New Roman" w:hAnsi="Calibri"/>
                <w:snapToGrid w:val="0"/>
                <w:lang w:val="nl-NL"/>
              </w:rPr>
              <w:t>Denmark, Finland, Iceland, Ireland, Luxembourg, Sweden, Liechtenstein, Norway</w:t>
            </w:r>
            <w:r w:rsidRPr="002C0BD1" w:rsidDel="006C4C6A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nl-NL" w:eastAsia="zh-CN"/>
              </w:rPr>
              <w:t xml:space="preserve"> </w:t>
            </w:r>
          </w:p>
          <w:p w14:paraId="477251D1" w14:textId="031043DD" w:rsidR="00EA29D6" w:rsidRPr="002D2A5F" w:rsidRDefault="00EA29D6" w:rsidP="00B7716A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421696">
              <w:rPr>
                <w:rFonts w:ascii="Calibri" w:eastAsia="Times New Roman" w:hAnsi="Calibri"/>
                <w:snapToGrid w:val="0"/>
              </w:rPr>
              <w:t>Partner Countries from Region 14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A86E" w14:textId="7695C13E" w:rsidR="00523CFE" w:rsidRPr="00523CFE" w:rsidRDefault="00FA7D84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120</w:t>
            </w:r>
          </w:p>
        </w:tc>
      </w:tr>
      <w:tr w:rsidR="00523CFE" w:rsidRPr="0019773D" w14:paraId="5F20B6D5" w14:textId="77777777" w:rsidTr="002D2A5F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D081E6A" w14:textId="77777777" w:rsidR="00523CFE" w:rsidRDefault="006C4C6A" w:rsidP="001A5E3D">
            <w:pPr>
              <w:autoSpaceDE w:val="0"/>
              <w:adjustRightInd w:val="0"/>
              <w:jc w:val="center"/>
              <w:rPr>
                <w:rFonts w:ascii="Calibri" w:eastAsia="Times New Roman" w:hAnsi="Calibri"/>
                <w:snapToGrid w:val="0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  <w:p w14:paraId="420EA5EA" w14:textId="4AF30494" w:rsidR="00EA29D6" w:rsidRPr="002D2A5F" w:rsidRDefault="00EA29D6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snapToGrid w:val="0"/>
              </w:rPr>
              <w:t>Partner Countries from Region 5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D1CE" w14:textId="314CC95A" w:rsidR="00523CFE" w:rsidRPr="00523CFE" w:rsidRDefault="00FA7D84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110</w:t>
            </w:r>
          </w:p>
        </w:tc>
      </w:tr>
      <w:tr w:rsidR="00523CFE" w:rsidRPr="0019773D" w14:paraId="501A5E69" w14:textId="77777777" w:rsidTr="002D2A5F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512F1E8" w14:textId="56E10C60" w:rsidR="00523CFE" w:rsidRPr="002D2A5F" w:rsidRDefault="008328A1" w:rsidP="00D73ED3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613662">
              <w:rPr>
                <w:rFonts w:ascii="Calibri" w:eastAsia="Times New Roman" w:hAnsi="Calibri"/>
                <w:snapToGrid w:val="0"/>
              </w:rPr>
              <w:t xml:space="preserve">Poland, Romania, Slovakia, Slovenia, </w:t>
            </w:r>
            <w:r w:rsidR="009444DF">
              <w:rPr>
                <w:rFonts w:ascii="Calibri" w:eastAsia="Times New Roman" w:hAnsi="Calibri"/>
                <w:snapToGrid w:val="0"/>
              </w:rPr>
              <w:t xml:space="preserve">the Republic of </w:t>
            </w:r>
            <w:r w:rsidR="00D73ED3">
              <w:rPr>
                <w:rFonts w:ascii="Calibri" w:eastAsia="Times New Roman" w:hAnsi="Calibri"/>
                <w:snapToGrid w:val="0"/>
              </w:rPr>
              <w:t xml:space="preserve">North </w:t>
            </w:r>
            <w:r w:rsidRPr="00613662">
              <w:rPr>
                <w:rFonts w:ascii="Calibri" w:eastAsia="Times New Roman" w:hAnsi="Calibri"/>
                <w:snapToGrid w:val="0"/>
              </w:rPr>
              <w:t>Macedonia, Turkey</w:t>
            </w:r>
            <w:r w:rsidR="00F37C3F">
              <w:rPr>
                <w:rFonts w:ascii="Calibri" w:eastAsia="Times New Roman" w:hAnsi="Calibri"/>
                <w:snapToGrid w:val="0"/>
              </w:rPr>
              <w:t>, Serbia</w:t>
            </w:r>
            <w:r w:rsidRPr="008328A1" w:rsidDel="008328A1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13AB" w14:textId="12A3BF01" w:rsidR="00523CFE" w:rsidRPr="00523CFE" w:rsidRDefault="00FA7D84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100</w:t>
            </w:r>
          </w:p>
        </w:tc>
      </w:tr>
    </w:tbl>
    <w:p w14:paraId="30F9A8FB" w14:textId="77777777" w:rsidR="006C4C6A" w:rsidRDefault="006C4C6A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1FA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4C0CE1FF" w14:textId="1DCE6300" w:rsidR="00DE37ED" w:rsidRDefault="006D1AF1" w:rsidP="002C0B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  <w:r w:rsidR="003F15A4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+between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day of activity: 70% of amount per day per participant as specified in the table above</w:t>
      </w:r>
      <w:r w:rsidR="0045432C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.</w:t>
      </w:r>
    </w:p>
    <w:p w14:paraId="653C94C0" w14:textId="77777777" w:rsidR="00FA7D84" w:rsidRDefault="00FA7D84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561EDAF" w14:textId="77777777" w:rsidR="003F15A4" w:rsidRDefault="003F15A4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C0CE200" w14:textId="13B9AE5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 xml:space="preserve">HE student </w:t>
      </w:r>
      <w:r w:rsidR="008E179D" w:rsidRPr="00DE37ED">
        <w:rPr>
          <w:rFonts w:ascii="Times New Roman" w:hAnsi="Times New Roman" w:cs="Times New Roman"/>
          <w:u w:val="single"/>
        </w:rPr>
        <w:t>mobility</w:t>
      </w:r>
      <w:r w:rsidRPr="00DE37ED">
        <w:rPr>
          <w:rFonts w:ascii="Times New Roman" w:hAnsi="Times New Roman" w:cs="Times New Roman"/>
          <w:u w:val="single"/>
        </w:rPr>
        <w:t>:</w:t>
      </w:r>
    </w:p>
    <w:p w14:paraId="4C0CE201" w14:textId="77777777" w:rsidR="006D1AF1" w:rsidRPr="006D1AF1" w:rsidRDefault="006D1AF1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02" w14:textId="77B0C6BB" w:rsidR="006D1AF1" w:rsidRDefault="006D1AF1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Student mobility for studies except for students from outermost regions</w:t>
      </w:r>
      <w:r w:rsidR="00D72D11">
        <w:rPr>
          <w:rFonts w:ascii="Times New Roman" w:hAnsi="Times New Roman"/>
          <w:b/>
          <w:sz w:val="24"/>
          <w:szCs w:val="24"/>
        </w:rPr>
        <w:t xml:space="preserve"> and </w:t>
      </w:r>
      <w:r w:rsidR="00D72D11" w:rsidRPr="00AB45F7">
        <w:rPr>
          <w:rFonts w:ascii="Times New Roman" w:hAnsi="Times New Roman"/>
          <w:b/>
          <w:sz w:val="24"/>
          <w:szCs w:val="24"/>
        </w:rPr>
        <w:t>Overseas Countries and Territories</w:t>
      </w:r>
    </w:p>
    <w:p w14:paraId="2C659B7C" w14:textId="77777777" w:rsidR="005F632B" w:rsidRPr="00D878F1" w:rsidRDefault="005F632B" w:rsidP="002D2A5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5F632B" w:rsidRPr="0006737B" w14:paraId="4C0CE207" w14:textId="77777777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3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4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A82" w14:textId="77777777" w:rsidR="005F632B" w:rsidRPr="00D878F1" w:rsidRDefault="005F632B" w:rsidP="005F63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3B41498D" w14:textId="6D75B2D2" w:rsidR="005F632B" w:rsidRPr="00D878F1" w:rsidRDefault="005F632B" w:rsidP="005F63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Amount per month </w:t>
            </w: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br/>
            </w:r>
          </w:p>
        </w:tc>
      </w:tr>
      <w:tr w:rsidR="005F632B" w:rsidRPr="00C73419" w14:paraId="18233FAF" w14:textId="03D7DCE5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CEA" w14:textId="6D09C28B" w:rsidR="005F632B" w:rsidRPr="002D2A5F" w:rsidRDefault="005F632B" w:rsidP="001A5E3D">
            <w:pPr>
              <w:jc w:val="center"/>
              <w:rPr>
                <w:rFonts w:ascii="Calibri" w:eastAsia="Times New Roman" w:hAnsi="Calibri"/>
                <w:b/>
                <w:lang w:eastAsia="ja-JP"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1</w:t>
            </w:r>
          </w:p>
          <w:p w14:paraId="272BA82A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6E51" w14:textId="53C4FB8E" w:rsidR="005F632B" w:rsidRPr="002C0BD1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lang w:val="nl-NL"/>
              </w:rPr>
            </w:pPr>
            <w:r w:rsidRPr="002C0BD1">
              <w:rPr>
                <w:rFonts w:ascii="Calibri" w:eastAsia="Times New Roman" w:hAnsi="Calibri"/>
                <w:snapToGrid w:val="0"/>
                <w:lang w:val="nl-NL"/>
              </w:rPr>
              <w:t>Denmark, Finland, Iceland, Ireland, Luxembourg, Sweden</w:t>
            </w:r>
            <w:r w:rsidR="00925734" w:rsidRPr="002C0BD1">
              <w:rPr>
                <w:rFonts w:ascii="Calibri" w:eastAsia="Times New Roman" w:hAnsi="Calibri"/>
                <w:snapToGrid w:val="0"/>
                <w:lang w:val="nl-NL"/>
              </w:rPr>
              <w:t>,</w:t>
            </w:r>
            <w:r w:rsidRPr="002C0BD1">
              <w:rPr>
                <w:rFonts w:ascii="Calibri" w:eastAsia="Times New Roman" w:hAnsi="Calibri"/>
                <w:snapToGrid w:val="0"/>
                <w:lang w:val="nl-NL"/>
              </w:rPr>
              <w:t xml:space="preserve"> Liechtenstein, Norway</w:t>
            </w:r>
          </w:p>
          <w:p w14:paraId="50DF0DDA" w14:textId="06B6FF9A" w:rsidR="00855240" w:rsidRPr="002D2A5F" w:rsidRDefault="00855240" w:rsidP="001A5E3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snapToGrid w:val="0"/>
              </w:rPr>
              <w:t>Partner Countries from Region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A9F" w14:textId="77777777" w:rsidR="005F632B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  <w:p w14:paraId="0B41E37C" w14:textId="3D583F5C" w:rsidR="005F632B" w:rsidRPr="00ED4A4C" w:rsidRDefault="00FA7D84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>
              <w:rPr>
                <w:rFonts w:ascii="Calibri" w:eastAsia="Times New Roman" w:hAnsi="Calibri"/>
                <w:snapToGrid w:val="0"/>
                <w:sz w:val="18"/>
                <w:szCs w:val="18"/>
              </w:rPr>
              <w:t>360</w:t>
            </w:r>
          </w:p>
        </w:tc>
      </w:tr>
      <w:tr w:rsidR="005F632B" w:rsidRPr="00C73419" w14:paraId="3282152A" w14:textId="2EF66354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EE1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lastRenderedPageBreak/>
              <w:t>Group 2</w:t>
            </w:r>
          </w:p>
          <w:p w14:paraId="3E11008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D7DB" w14:textId="77777777" w:rsidR="005F632B" w:rsidRDefault="005F632B" w:rsidP="001A5E3D">
            <w:pPr>
              <w:jc w:val="center"/>
              <w:rPr>
                <w:rFonts w:ascii="Calibri" w:eastAsia="Times New Roman" w:hAnsi="Calibri"/>
                <w:snapToGrid w:val="0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  <w:p w14:paraId="2D4E5E3D" w14:textId="7356D0F3" w:rsidR="00855240" w:rsidRPr="002D2A5F" w:rsidRDefault="00855240" w:rsidP="001A5E3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snapToGrid w:val="0"/>
              </w:rPr>
              <w:t>Partner Countries from Region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402" w14:textId="77777777" w:rsidR="00FA7D84" w:rsidRDefault="00FA7D84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  <w:p w14:paraId="3D4D664E" w14:textId="635AE487" w:rsidR="005F632B" w:rsidRPr="00ED4A4C" w:rsidRDefault="00FA7D84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>
              <w:rPr>
                <w:rFonts w:ascii="Calibri" w:eastAsia="Times New Roman" w:hAnsi="Calibri"/>
                <w:snapToGrid w:val="0"/>
                <w:sz w:val="18"/>
                <w:szCs w:val="18"/>
              </w:rPr>
              <w:t>300</w:t>
            </w:r>
          </w:p>
        </w:tc>
      </w:tr>
      <w:tr w:rsidR="005F632B" w:rsidRPr="00C73419" w14:paraId="18A91FA4" w14:textId="4743F58A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F47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3</w:t>
            </w:r>
          </w:p>
          <w:p w14:paraId="2420EA86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E774" w14:textId="4547F1D6" w:rsidR="005F632B" w:rsidRPr="002D2A5F" w:rsidRDefault="005F632B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="00912359"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2D2A5F">
              <w:rPr>
                <w:rFonts w:ascii="Calibri" w:eastAsia="Times New Roman" w:hAnsi="Calibri"/>
                <w:snapToGrid w:val="0"/>
              </w:rPr>
              <w:t xml:space="preserve">Poland, Romania, Slovakia, Slovenia, </w:t>
            </w:r>
            <w:r w:rsidR="009444DF">
              <w:rPr>
                <w:rFonts w:ascii="Calibri" w:eastAsia="Times New Roman" w:hAnsi="Calibri"/>
                <w:snapToGrid w:val="0"/>
              </w:rPr>
              <w:t xml:space="preserve">the Republic of </w:t>
            </w:r>
            <w:r w:rsidR="00D73ED3">
              <w:rPr>
                <w:rFonts w:ascii="Calibri" w:eastAsia="Times New Roman" w:hAnsi="Calibri"/>
                <w:snapToGrid w:val="0"/>
              </w:rPr>
              <w:t>North</w:t>
            </w:r>
            <w:r w:rsidRPr="002D2A5F">
              <w:rPr>
                <w:rFonts w:ascii="Calibri" w:eastAsia="Times New Roman" w:hAnsi="Calibri"/>
                <w:snapToGrid w:val="0"/>
              </w:rPr>
              <w:t xml:space="preserve"> Macedonia, Turkey</w:t>
            </w:r>
            <w:r w:rsidR="00F37C3F">
              <w:rPr>
                <w:rFonts w:ascii="Calibri" w:eastAsia="Times New Roman" w:hAnsi="Calibri"/>
                <w:snapToGrid w:val="0"/>
              </w:rPr>
              <w:t>, Serbia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CBD" w14:textId="77777777" w:rsidR="005F632B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  <w:p w14:paraId="152F85D4" w14:textId="3BA9225D" w:rsidR="00FA7D84" w:rsidRPr="00ED4A4C" w:rsidRDefault="00FA7D84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>
              <w:rPr>
                <w:rFonts w:ascii="Calibri" w:eastAsia="Times New Roman" w:hAnsi="Calibri"/>
                <w:snapToGrid w:val="0"/>
                <w:sz w:val="18"/>
                <w:szCs w:val="18"/>
              </w:rPr>
              <w:t>240</w:t>
            </w:r>
          </w:p>
        </w:tc>
      </w:tr>
    </w:tbl>
    <w:p w14:paraId="118E0737" w14:textId="77777777" w:rsidR="005F632B" w:rsidRDefault="005F632B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8" w14:textId="575A124E" w:rsidR="006D1AF1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Those rates fixed by the National Agency are </w:t>
      </w:r>
      <w:r w:rsidRPr="004125E7">
        <w:rPr>
          <w:rFonts w:ascii="Times New Roman" w:hAnsi="Times New Roman"/>
          <w:b/>
          <w:sz w:val="24"/>
          <w:szCs w:val="24"/>
          <w:u w:val="single"/>
        </w:rPr>
        <w:t>fixed</w:t>
      </w:r>
      <w:r w:rsidRPr="00D878F1">
        <w:rPr>
          <w:rFonts w:ascii="Times New Roman" w:hAnsi="Times New Roman"/>
          <w:sz w:val="24"/>
          <w:szCs w:val="24"/>
        </w:rPr>
        <w:t xml:space="preserve"> for the entire mobility project.</w:t>
      </w:r>
    </w:p>
    <w:p w14:paraId="4C0CE219" w14:textId="77777777" w:rsidR="004125E7" w:rsidRPr="00D878F1" w:rsidRDefault="004125E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A" w14:textId="46F347BC" w:rsidR="006D1AF1" w:rsidRDefault="006D1AF1" w:rsidP="00AB45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Student mobility for studies for students from outermost  regions</w:t>
      </w:r>
      <w:r w:rsidR="00AB45F7">
        <w:rPr>
          <w:rFonts w:ascii="Times New Roman" w:hAnsi="Times New Roman"/>
          <w:b/>
          <w:sz w:val="24"/>
          <w:szCs w:val="24"/>
        </w:rPr>
        <w:t xml:space="preserve"> </w:t>
      </w:r>
      <w:r w:rsidR="00AB45F7" w:rsidRPr="00AB45F7">
        <w:rPr>
          <w:rFonts w:ascii="Times New Roman" w:hAnsi="Times New Roman"/>
          <w:b/>
          <w:sz w:val="24"/>
          <w:szCs w:val="24"/>
        </w:rPr>
        <w:t>and Overseas Countries and Territories</w:t>
      </w:r>
    </w:p>
    <w:p w14:paraId="4C0CE21B" w14:textId="77777777" w:rsidR="000D504E" w:rsidRPr="00D878F1" w:rsidRDefault="000D504E" w:rsidP="003A3EC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4"/>
        <w:gridCol w:w="2969"/>
      </w:tblGrid>
      <w:tr w:rsidR="006D1AF1" w:rsidRPr="0006737B" w14:paraId="4C0CE21F" w14:textId="77777777" w:rsidTr="00B7716A">
        <w:tc>
          <w:tcPr>
            <w:tcW w:w="1953" w:type="pct"/>
            <w:shd w:val="clear" w:color="auto" w:fill="auto"/>
            <w:vAlign w:val="center"/>
          </w:tcPr>
          <w:p w14:paraId="4C0CE21C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Mobility from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1D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4C0CE21E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B7716A" w:rsidRPr="0006737B" w14:paraId="4C0CE223" w14:textId="77777777" w:rsidTr="00B7716A">
        <w:trPr>
          <w:trHeight w:val="1104"/>
        </w:trPr>
        <w:tc>
          <w:tcPr>
            <w:tcW w:w="1953" w:type="pct"/>
            <w:shd w:val="clear" w:color="auto" w:fill="auto"/>
            <w:vAlign w:val="center"/>
          </w:tcPr>
          <w:p w14:paraId="4C0CE220" w14:textId="7E13C645" w:rsidR="00B7716A" w:rsidRPr="00D878F1" w:rsidRDefault="00B7716A" w:rsidP="00925734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Outermost regions and Territories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21" w14:textId="2D74B141" w:rsidR="00B7716A" w:rsidRPr="00D878F1" w:rsidRDefault="00B7716A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Programme Countries </w:t>
            </w:r>
            <w:r w:rsidR="0085524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and Partner Countries from Regions 5 and 14 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7E0607A7" w14:textId="67C4C34C" w:rsidR="00B7716A" w:rsidRDefault="00B7716A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700 EUR per month</w:t>
            </w:r>
          </w:p>
          <w:p w14:paraId="4C0CE222" w14:textId="3DA65707" w:rsidR="00B7716A" w:rsidRPr="00D878F1" w:rsidRDefault="00B7716A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4C0CE22C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22D" w14:textId="0098EE60" w:rsidR="006D1AF1" w:rsidRPr="00D878F1" w:rsidRDefault="006D1AF1" w:rsidP="00B00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 xml:space="preserve">Student mobility for traineeships:  </w:t>
      </w:r>
      <w:r w:rsidRPr="00D878F1">
        <w:rPr>
          <w:rFonts w:ascii="Times New Roman" w:hAnsi="Times New Roman"/>
          <w:sz w:val="24"/>
          <w:szCs w:val="24"/>
        </w:rPr>
        <w:t>additional top-up</w:t>
      </w:r>
      <w:r w:rsidR="00FA4E22">
        <w:rPr>
          <w:rFonts w:ascii="Times New Roman" w:hAnsi="Times New Roman"/>
          <w:sz w:val="24"/>
          <w:szCs w:val="24"/>
        </w:rPr>
        <w:t xml:space="preserve"> amount to the individual support</w:t>
      </w:r>
      <w:r w:rsidRPr="00D878F1">
        <w:rPr>
          <w:rFonts w:ascii="Times New Roman" w:hAnsi="Times New Roman"/>
          <w:sz w:val="24"/>
          <w:szCs w:val="24"/>
        </w:rPr>
        <w:t xml:space="preserve"> of</w:t>
      </w:r>
      <w:r w:rsidR="00FA4E22">
        <w:rPr>
          <w:rFonts w:ascii="Times New Roman" w:hAnsi="Times New Roman"/>
          <w:sz w:val="24"/>
          <w:szCs w:val="24"/>
        </w:rPr>
        <w:t xml:space="preserve"> </w:t>
      </w:r>
      <w:r w:rsidR="00FA4E22">
        <w:rPr>
          <w:rFonts w:ascii="Times New Roman" w:hAnsi="Times New Roman"/>
          <w:b/>
          <w:sz w:val="24"/>
          <w:szCs w:val="24"/>
        </w:rPr>
        <w:t>150 EUR per month.</w:t>
      </w:r>
      <w:r w:rsidR="00FA4E22" w:rsidRPr="00FA4E22">
        <w:t xml:space="preserve"> </w:t>
      </w:r>
      <w:r w:rsidR="00FA4E22" w:rsidRPr="00B000DD">
        <w:rPr>
          <w:rFonts w:ascii="Times New Roman" w:hAnsi="Times New Roman"/>
          <w:sz w:val="24"/>
          <w:szCs w:val="24"/>
        </w:rPr>
        <w:t>Students and recent graduates with fewer opportunities who take part in traineeships are entitled to receive the top-up amount for students and recent graduates with fewer opportunities and the top-up amount for traineeships.</w:t>
      </w:r>
      <w:r w:rsidR="00FA4E22">
        <w:t xml:space="preserve"> </w:t>
      </w:r>
    </w:p>
    <w:p w14:paraId="4C0CE22F" w14:textId="70854D77" w:rsidR="0072048B" w:rsidRPr="002C0BD1" w:rsidRDefault="006D1AF1" w:rsidP="00421696">
      <w:pPr>
        <w:pStyle w:val="Lijstaline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4E22">
        <w:rPr>
          <w:rFonts w:ascii="Times New Roman" w:hAnsi="Times New Roman"/>
          <w:b/>
          <w:sz w:val="24"/>
          <w:szCs w:val="24"/>
        </w:rPr>
        <w:t xml:space="preserve">Students </w:t>
      </w:r>
      <w:r w:rsidR="00421696">
        <w:rPr>
          <w:rFonts w:ascii="Times New Roman" w:hAnsi="Times New Roman"/>
          <w:b/>
          <w:sz w:val="24"/>
          <w:szCs w:val="24"/>
        </w:rPr>
        <w:t xml:space="preserve">and recent graduates with fewer </w:t>
      </w:r>
      <w:r w:rsidR="00B7716A" w:rsidRPr="00FA4E22">
        <w:rPr>
          <w:rFonts w:ascii="Times New Roman" w:hAnsi="Times New Roman"/>
          <w:b/>
          <w:sz w:val="24"/>
          <w:szCs w:val="24"/>
        </w:rPr>
        <w:t>opportunities</w:t>
      </w:r>
      <w:r w:rsidR="00FA4E22">
        <w:rPr>
          <w:rFonts w:ascii="Times New Roman" w:hAnsi="Times New Roman"/>
          <w:b/>
          <w:sz w:val="24"/>
          <w:szCs w:val="24"/>
        </w:rPr>
        <w:t>:</w:t>
      </w:r>
      <w:r w:rsidR="00B7716A" w:rsidRPr="00FA4E22">
        <w:rPr>
          <w:rFonts w:ascii="Times New Roman" w:hAnsi="Times New Roman"/>
          <w:b/>
          <w:sz w:val="24"/>
          <w:szCs w:val="24"/>
        </w:rPr>
        <w:t xml:space="preserve"> </w:t>
      </w:r>
      <w:r w:rsidR="00FA4E22" w:rsidRPr="00B000DD">
        <w:rPr>
          <w:rFonts w:ascii="Times New Roman" w:hAnsi="Times New Roman"/>
          <w:sz w:val="24"/>
          <w:szCs w:val="24"/>
        </w:rPr>
        <w:t xml:space="preserve"> </w:t>
      </w:r>
      <w:r w:rsidRPr="00FA4E22">
        <w:rPr>
          <w:rFonts w:ascii="Times New Roman" w:hAnsi="Times New Roman"/>
          <w:sz w:val="24"/>
          <w:szCs w:val="24"/>
        </w:rPr>
        <w:t xml:space="preserve">additional top-up </w:t>
      </w:r>
      <w:r w:rsidR="00FA4E22" w:rsidRPr="00FA4E22">
        <w:rPr>
          <w:rFonts w:ascii="Times New Roman" w:hAnsi="Times New Roman"/>
          <w:sz w:val="24"/>
          <w:szCs w:val="24"/>
        </w:rPr>
        <w:t xml:space="preserve">to the individual support </w:t>
      </w:r>
      <w:r w:rsidRPr="00FA4E22">
        <w:rPr>
          <w:rFonts w:ascii="Times New Roman" w:eastAsia="Times New Roman" w:hAnsi="Times New Roman"/>
          <w:snapToGrid w:val="0"/>
          <w:kern w:val="3"/>
          <w:sz w:val="24"/>
          <w:szCs w:val="24"/>
          <w:lang w:eastAsia="zh-CN"/>
        </w:rPr>
        <w:t xml:space="preserve">of </w:t>
      </w:r>
      <w:r w:rsidR="00FA4E22" w:rsidRPr="00FA4E22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>250 EUR per month</w:t>
      </w:r>
      <w:r w:rsidR="00FA4E22" w:rsidRPr="00FA4E22">
        <w:rPr>
          <w:rFonts w:ascii="Times New Roman" w:eastAsia="Times New Roman" w:hAnsi="Times New Roman"/>
          <w:snapToGrid w:val="0"/>
          <w:kern w:val="3"/>
          <w:sz w:val="24"/>
          <w:szCs w:val="24"/>
          <w:lang w:eastAsia="zh-CN"/>
        </w:rPr>
        <w:t xml:space="preserve">. </w:t>
      </w:r>
    </w:p>
    <w:p w14:paraId="0509C721" w14:textId="5A47555E" w:rsidR="00F40F01" w:rsidRPr="002C0BD1" w:rsidRDefault="00F40F01" w:rsidP="00F40F01">
      <w:pPr>
        <w:pStyle w:val="Lijstaline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4E22">
        <w:rPr>
          <w:rFonts w:ascii="Times New Roman" w:hAnsi="Times New Roman"/>
          <w:b/>
          <w:sz w:val="24"/>
          <w:szCs w:val="24"/>
        </w:rPr>
        <w:t>Students and recent graduates on short-term physical mobility</w:t>
      </w:r>
      <w:r w:rsidRPr="00B000DD">
        <w:rPr>
          <w:rFonts w:ascii="Times New Roman" w:hAnsi="Times New Roman"/>
          <w:sz w:val="24"/>
          <w:szCs w:val="24"/>
        </w:rPr>
        <w:t xml:space="preserve"> receive </w:t>
      </w:r>
      <w:r w:rsidRPr="00FA4E22">
        <w:rPr>
          <w:rFonts w:ascii="Times New Roman" w:hAnsi="Times New Roman"/>
          <w:b/>
          <w:sz w:val="24"/>
          <w:szCs w:val="24"/>
        </w:rPr>
        <w:t>70 EUR per day</w:t>
      </w:r>
      <w:r w:rsidRPr="00B000DD">
        <w:rPr>
          <w:rFonts w:ascii="Times New Roman" w:hAnsi="Times New Roman"/>
          <w:sz w:val="24"/>
          <w:szCs w:val="24"/>
        </w:rPr>
        <w:t xml:space="preserve"> up to the 14</w:t>
      </w:r>
      <w:r w:rsidRPr="00B000DD">
        <w:rPr>
          <w:rFonts w:ascii="Times New Roman" w:hAnsi="Times New Roman"/>
          <w:sz w:val="24"/>
          <w:szCs w:val="24"/>
          <w:vertAlign w:val="superscript"/>
        </w:rPr>
        <w:t>th</w:t>
      </w:r>
      <w:r w:rsidRPr="00B000DD">
        <w:rPr>
          <w:rFonts w:ascii="Times New Roman" w:hAnsi="Times New Roman"/>
          <w:sz w:val="24"/>
          <w:szCs w:val="24"/>
        </w:rPr>
        <w:t xml:space="preserve"> day of activity, and </w:t>
      </w:r>
      <w:r w:rsidRPr="00FA4E22">
        <w:rPr>
          <w:rFonts w:ascii="Times New Roman" w:hAnsi="Times New Roman"/>
          <w:b/>
          <w:sz w:val="24"/>
          <w:szCs w:val="24"/>
        </w:rPr>
        <w:t>50 EUR per day</w:t>
      </w:r>
      <w:r w:rsidRPr="00B000DD">
        <w:rPr>
          <w:rFonts w:ascii="Times New Roman" w:hAnsi="Times New Roman"/>
          <w:sz w:val="24"/>
          <w:szCs w:val="24"/>
        </w:rPr>
        <w:t xml:space="preserve"> between the 15</w:t>
      </w:r>
      <w:r w:rsidRPr="00B000DD">
        <w:rPr>
          <w:rFonts w:ascii="Times New Roman" w:hAnsi="Times New Roman"/>
          <w:sz w:val="24"/>
          <w:szCs w:val="24"/>
          <w:vertAlign w:val="superscript"/>
        </w:rPr>
        <w:t>th</w:t>
      </w:r>
      <w:r w:rsidRPr="00B000DD">
        <w:rPr>
          <w:rFonts w:ascii="Times New Roman" w:hAnsi="Times New Roman"/>
          <w:sz w:val="24"/>
          <w:szCs w:val="24"/>
        </w:rPr>
        <w:t xml:space="preserve"> to the 30</w:t>
      </w:r>
      <w:r w:rsidRPr="00B000DD">
        <w:rPr>
          <w:rFonts w:ascii="Times New Roman" w:hAnsi="Times New Roman"/>
          <w:sz w:val="24"/>
          <w:szCs w:val="24"/>
          <w:vertAlign w:val="superscript"/>
        </w:rPr>
        <w:t>th</w:t>
      </w:r>
      <w:r w:rsidRPr="00B000DD">
        <w:rPr>
          <w:rFonts w:ascii="Times New Roman" w:hAnsi="Times New Roman"/>
          <w:sz w:val="24"/>
          <w:szCs w:val="24"/>
        </w:rPr>
        <w:t xml:space="preserve"> day of activity.</w:t>
      </w:r>
    </w:p>
    <w:p w14:paraId="3D63CB0E" w14:textId="29515610" w:rsidR="00B000DD" w:rsidRPr="00B000DD" w:rsidRDefault="00785C88" w:rsidP="00B000DD">
      <w:pPr>
        <w:pStyle w:val="Lijstaline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</w:t>
      </w:r>
      <w:r w:rsidR="00B000DD">
        <w:rPr>
          <w:rFonts w:ascii="Times New Roman" w:hAnsi="Times New Roman"/>
          <w:b/>
          <w:sz w:val="24"/>
          <w:szCs w:val="24"/>
        </w:rPr>
        <w:t>ts and recent graduates with fewer opportunities on short-term physical mobility</w:t>
      </w:r>
      <w:r w:rsidR="00B000DD">
        <w:rPr>
          <w:rFonts w:ascii="Times New Roman" w:hAnsi="Times New Roman"/>
          <w:sz w:val="24"/>
          <w:szCs w:val="24"/>
        </w:rPr>
        <w:t xml:space="preserve"> receive a top-up amount to the individual support of </w:t>
      </w:r>
      <w:r w:rsidR="00B000DD">
        <w:rPr>
          <w:rFonts w:ascii="Times New Roman" w:hAnsi="Times New Roman"/>
          <w:b/>
          <w:sz w:val="24"/>
          <w:szCs w:val="24"/>
        </w:rPr>
        <w:t xml:space="preserve">100 EUR </w:t>
      </w:r>
      <w:r w:rsidR="00B000DD">
        <w:rPr>
          <w:rFonts w:ascii="Times New Roman" w:hAnsi="Times New Roman"/>
          <w:sz w:val="24"/>
          <w:szCs w:val="24"/>
        </w:rPr>
        <w:t xml:space="preserve"> for a physical mobility activity period of 5-14 days and </w:t>
      </w:r>
      <w:r w:rsidR="00B000DD">
        <w:rPr>
          <w:rFonts w:ascii="Times New Roman" w:hAnsi="Times New Roman"/>
          <w:b/>
          <w:sz w:val="24"/>
          <w:szCs w:val="24"/>
        </w:rPr>
        <w:t>150 EUR</w:t>
      </w:r>
      <w:r w:rsidR="00B000DD">
        <w:rPr>
          <w:rFonts w:ascii="Times New Roman" w:hAnsi="Times New Roman"/>
          <w:sz w:val="24"/>
          <w:szCs w:val="24"/>
        </w:rPr>
        <w:t xml:space="preserve"> for the one of 15-30 days. The top-up amount for traineeship does not apply in this case.</w:t>
      </w:r>
    </w:p>
    <w:p w14:paraId="4C0CE230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31" w14:textId="77777777" w:rsidR="008E179D" w:rsidRPr="00421696" w:rsidRDefault="008E179D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696">
        <w:rPr>
          <w:rFonts w:ascii="Times New Roman" w:hAnsi="Times New Roman"/>
          <w:b/>
          <w:sz w:val="24"/>
          <w:szCs w:val="24"/>
        </w:rPr>
        <w:t>3. Organisational support</w:t>
      </w:r>
    </w:p>
    <w:p w14:paraId="109B0078" w14:textId="075B3EF6" w:rsidR="003F3F14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Up to the 100th participant: </w:t>
      </w:r>
      <w:r w:rsidR="00B000DD">
        <w:rPr>
          <w:rFonts w:ascii="Times New Roman" w:hAnsi="Times New Roman"/>
          <w:sz w:val="24"/>
          <w:szCs w:val="24"/>
        </w:rPr>
        <w:t>40</w:t>
      </w:r>
      <w:r w:rsidRPr="00D878F1">
        <w:rPr>
          <w:rFonts w:ascii="Times New Roman" w:hAnsi="Times New Roman"/>
          <w:sz w:val="24"/>
          <w:szCs w:val="24"/>
        </w:rPr>
        <w:t xml:space="preserve">0 EUR per participant </w:t>
      </w:r>
    </w:p>
    <w:p w14:paraId="4C0CE233" w14:textId="528B07B5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>+ beyond the 100th participant: 2</w:t>
      </w:r>
      <w:r w:rsidR="00B000DD">
        <w:rPr>
          <w:rFonts w:ascii="Times New Roman" w:hAnsi="Times New Roman"/>
          <w:sz w:val="24"/>
          <w:szCs w:val="24"/>
        </w:rPr>
        <w:t>3</w:t>
      </w:r>
      <w:r w:rsidRPr="00D878F1">
        <w:rPr>
          <w:rFonts w:ascii="Times New Roman" w:hAnsi="Times New Roman"/>
          <w:sz w:val="24"/>
          <w:szCs w:val="24"/>
        </w:rPr>
        <w:t>0 EUR per additional participant.</w:t>
      </w:r>
    </w:p>
    <w:p w14:paraId="0350ADDD" w14:textId="77777777" w:rsidR="007E07E6" w:rsidRDefault="007E07E6" w:rsidP="007E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5A7AE" w14:textId="77777777" w:rsidR="007E07E6" w:rsidRDefault="007E07E6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Blended intensive programmes: </w:t>
      </w:r>
      <w:r w:rsidRPr="00421696">
        <w:rPr>
          <w:rFonts w:ascii="Times New Roman" w:hAnsi="Times New Roman"/>
          <w:sz w:val="24"/>
          <w:szCs w:val="24"/>
        </w:rPr>
        <w:t>400 EUR</w:t>
      </w:r>
      <w:r w:rsidRPr="00B51225">
        <w:rPr>
          <w:rFonts w:ascii="Times New Roman" w:hAnsi="Times New Roman"/>
          <w:sz w:val="24"/>
          <w:szCs w:val="24"/>
        </w:rPr>
        <w:t xml:space="preserve"> per participant, with minimum 15 participants and a maximum of 20 funded participants</w:t>
      </w:r>
    </w:p>
    <w:p w14:paraId="401D6287" w14:textId="77777777" w:rsidR="00F40F01" w:rsidRDefault="00F40F0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B2FD55" w14:textId="42AC8BA8" w:rsidR="00B000DD" w:rsidRPr="007E07E6" w:rsidRDefault="00B000DD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3060">
        <w:rPr>
          <w:rFonts w:ascii="Times New Roman" w:hAnsi="Times New Roman"/>
          <w:b/>
          <w:sz w:val="24"/>
          <w:szCs w:val="24"/>
        </w:rPr>
        <w:t>4. Inclusion support</w:t>
      </w:r>
    </w:p>
    <w:p w14:paraId="46998E7E" w14:textId="5347EF58" w:rsidR="00D83660" w:rsidRPr="00421696" w:rsidRDefault="00E23060" w:rsidP="0042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60"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</w:t>
      </w:r>
      <w:r w:rsidR="0045432C">
        <w:rPr>
          <w:rFonts w:ascii="Times New Roman" w:hAnsi="Times New Roman"/>
          <w:sz w:val="24"/>
          <w:szCs w:val="24"/>
        </w:rPr>
        <w:t xml:space="preserve"> receiving </w:t>
      </w:r>
      <w:r w:rsidR="0045432C" w:rsidRPr="0045432C">
        <w:rPr>
          <w:rFonts w:ascii="Times New Roman" w:hAnsi="Times New Roman"/>
          <w:sz w:val="24"/>
          <w:szCs w:val="24"/>
        </w:rPr>
        <w:t>additional support based on real costs through</w:t>
      </w:r>
      <w:r w:rsidR="00421696">
        <w:rPr>
          <w:rFonts w:ascii="Times New Roman" w:hAnsi="Times New Roman"/>
          <w:sz w:val="24"/>
          <w:szCs w:val="24"/>
        </w:rPr>
        <w:t xml:space="preserve"> the inclusion support category.</w:t>
      </w:r>
    </w:p>
    <w:p w14:paraId="5A144485" w14:textId="76A7BC00" w:rsidR="0045432C" w:rsidRDefault="0045432C" w:rsidP="00421696"/>
    <w:p w14:paraId="7F9F0E98" w14:textId="20A250D8" w:rsidR="00421696" w:rsidRDefault="00D4053E" w:rsidP="00421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BD1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421696" w:rsidRPr="002C0BD1">
        <w:rPr>
          <w:rFonts w:ascii="Times New Roman" w:hAnsi="Times New Roman" w:cs="Times New Roman"/>
          <w:b/>
          <w:sz w:val="24"/>
          <w:szCs w:val="24"/>
        </w:rPr>
        <w:t>etween Programme and Partner Countries</w:t>
      </w:r>
    </w:p>
    <w:p w14:paraId="13FFDB2D" w14:textId="77777777" w:rsidR="00421696" w:rsidRDefault="00421696" w:rsidP="00421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80DDC" w14:textId="77777777" w:rsidR="00421696" w:rsidRDefault="00421696" w:rsidP="004216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Travel – Contribution to the travel costs</w:t>
      </w:r>
    </w:p>
    <w:p w14:paraId="538899D2" w14:textId="77777777" w:rsidR="00421696" w:rsidRDefault="00421696" w:rsidP="00421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Students and recent graduates going to Partner Countries except to Partner Countries from Regions 5 and 14:</w:t>
      </w:r>
    </w:p>
    <w:p w14:paraId="3A81F285" w14:textId="77777777" w:rsidR="00421696" w:rsidRDefault="00421696" w:rsidP="00421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54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55"/>
        <w:gridCol w:w="3012"/>
        <w:gridCol w:w="3012"/>
      </w:tblGrid>
      <w:tr w:rsidR="00421696" w14:paraId="248027BB" w14:textId="77777777" w:rsidTr="00421696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419B01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E4422A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Standard travel - Amount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CB2610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421696" w14:paraId="28AEB9A7" w14:textId="77777777" w:rsidTr="00421696">
        <w:trPr>
          <w:trHeight w:val="236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E468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61D1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23 EUR per participant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06851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421696" w14:paraId="4F7F5105" w14:textId="77777777" w:rsidTr="00421696">
        <w:trPr>
          <w:trHeight w:val="236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076B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8637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A67F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421696" w14:paraId="0ACB1188" w14:textId="77777777" w:rsidTr="00421696">
        <w:trPr>
          <w:trHeight w:val="268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0275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33F2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A4E7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421696" w14:paraId="2974BD92" w14:textId="77777777" w:rsidTr="00421696">
        <w:trPr>
          <w:trHeight w:val="272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3931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DBC6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2600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421696" w14:paraId="7BF91F6F" w14:textId="77777777" w:rsidTr="00421696">
        <w:trPr>
          <w:trHeight w:val="262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4F58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E3D8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BF7E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421696" w14:paraId="235722D3" w14:textId="77777777" w:rsidTr="00421696">
        <w:trPr>
          <w:trHeight w:val="2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DD49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0C04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A6CEC5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421696" w14:paraId="46331D18" w14:textId="77777777" w:rsidTr="00421696">
        <w:trPr>
          <w:trHeight w:val="27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C886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AEA6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1500 EUR per participant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64D458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1EFF57D" w14:textId="77777777" w:rsidR="00421696" w:rsidRDefault="00421696" w:rsidP="00421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99918" w14:textId="77777777" w:rsidR="00421696" w:rsidRDefault="00421696" w:rsidP="0042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the "travel distance" represents the distance between the place of origin and the venue, whereas the "amount" covers the contribution to the travel both to and from the venue.</w:t>
      </w:r>
    </w:p>
    <w:p w14:paraId="4E632202" w14:textId="77777777" w:rsidR="00421696" w:rsidRDefault="00421696" w:rsidP="0042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C7CF8" w14:textId="77777777" w:rsidR="00421696" w:rsidRDefault="00421696" w:rsidP="0042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mobility from Programme to Partner Countries, except Region 5 and 14, students and recent graduates with fewer opportunities must receive travel support.</w:t>
      </w:r>
    </w:p>
    <w:p w14:paraId="7BF3128D" w14:textId="77777777" w:rsidR="00421696" w:rsidRDefault="00421696" w:rsidP="0042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BB0F8" w14:textId="77777777" w:rsidR="00421696" w:rsidRDefault="00421696" w:rsidP="0042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and recent graduates who do not receive travel support can opt for green travel. In this case, they will receive a single contribution of </w:t>
      </w:r>
      <w:r>
        <w:rPr>
          <w:rFonts w:ascii="Times New Roman" w:hAnsi="Times New Roman"/>
          <w:b/>
          <w:sz w:val="24"/>
          <w:szCs w:val="24"/>
        </w:rPr>
        <w:t>50 EUR</w:t>
      </w:r>
      <w:r>
        <w:rPr>
          <w:rFonts w:ascii="Times New Roman" w:hAnsi="Times New Roman"/>
          <w:sz w:val="24"/>
          <w:szCs w:val="24"/>
        </w:rPr>
        <w:t xml:space="preserve"> as a top-up amount to the individual support and up to 4 days of additional individual support to cover travel days for a return trip, if relevant.</w:t>
      </w:r>
    </w:p>
    <w:p w14:paraId="3C60FCC6" w14:textId="77777777" w:rsidR="00421696" w:rsidRDefault="00421696" w:rsidP="0042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E1A3C" w14:textId="77777777" w:rsidR="00421696" w:rsidRDefault="00421696" w:rsidP="00421696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 mobility</w:t>
      </w:r>
    </w:p>
    <w:p w14:paraId="50D155A0" w14:textId="77777777" w:rsidR="00421696" w:rsidRDefault="00421696" w:rsidP="00421696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421696" w14:paraId="4584ED04" w14:textId="77777777" w:rsidTr="0042169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9CEAF46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926C33B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F1C8E1E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421696" w14:paraId="3395E896" w14:textId="77777777" w:rsidTr="00421696">
        <w:trPr>
          <w:trHeight w:val="23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7D4F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04C8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3558A0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421696" w14:paraId="09119376" w14:textId="77777777" w:rsidTr="00421696">
        <w:trPr>
          <w:trHeight w:val="23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A301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0F0A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DCE1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421696" w14:paraId="00646F7C" w14:textId="77777777" w:rsidTr="00421696">
        <w:trPr>
          <w:trHeight w:val="26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C2C1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1206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3497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421696" w14:paraId="028395D9" w14:textId="77777777" w:rsidTr="00421696">
        <w:trPr>
          <w:trHeight w:val="27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875E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F824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60E3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421696" w14:paraId="785FDF7A" w14:textId="77777777" w:rsidTr="00421696">
        <w:trPr>
          <w:trHeight w:val="26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4DD9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3128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CC9F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421696" w14:paraId="4CE756F4" w14:textId="77777777" w:rsidTr="00421696">
        <w:trPr>
          <w:trHeight w:val="28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44DB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5103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8BB68F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421696" w14:paraId="710C1B8C" w14:textId="77777777" w:rsidTr="00421696">
        <w:trPr>
          <w:trHeight w:val="2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A1A9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B420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B00065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7889C99C" w14:textId="77777777" w:rsidR="00421696" w:rsidRDefault="00421696" w:rsidP="0042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85A56" w14:textId="77777777" w:rsidR="00421696" w:rsidRDefault="00421696" w:rsidP="00421696">
      <w:pPr>
        <w:spacing w:after="0" w:line="240" w:lineRule="auto"/>
        <w:rPr>
          <w:rFonts w:ascii="Times New Roman" w:hAnsi="Times New Roman" w:cs="Times New Roman"/>
          <w:b/>
        </w:rPr>
      </w:pPr>
    </w:p>
    <w:p w14:paraId="7F47BB46" w14:textId="77777777" w:rsidR="00D4053E" w:rsidRDefault="00421696" w:rsidP="004216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Individual support </w:t>
      </w:r>
    </w:p>
    <w:p w14:paraId="307E680A" w14:textId="303F1650" w:rsidR="00421696" w:rsidRDefault="00421696" w:rsidP="004216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A0F5ED4" w14:textId="07750B4C" w:rsidR="00D4053E" w:rsidRDefault="00421696" w:rsidP="00421696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Staff mobility from Programme to Partner Countries from Regions 1-4 and 6-13</w:t>
      </w:r>
    </w:p>
    <w:tbl>
      <w:tblPr>
        <w:tblW w:w="4790" w:type="pct"/>
        <w:tblLook w:val="04A0" w:firstRow="1" w:lastRow="0" w:firstColumn="1" w:lastColumn="0" w:noHBand="0" w:noVBand="1"/>
      </w:tblPr>
      <w:tblGrid>
        <w:gridCol w:w="4255"/>
        <w:gridCol w:w="4421"/>
      </w:tblGrid>
      <w:tr w:rsidR="00421696" w14:paraId="49FC1022" w14:textId="77777777" w:rsidTr="00421696">
        <w:trPr>
          <w:trHeight w:val="1113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0CEC63A5" w14:textId="77777777" w:rsidR="00421696" w:rsidRDefault="004216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 in EUR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5C06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180</w:t>
            </w:r>
          </w:p>
          <w:p w14:paraId="0C523D08" w14:textId="77777777" w:rsidR="00421696" w:rsidRDefault="004216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603B2FA" w14:textId="77777777" w:rsidR="00421696" w:rsidRDefault="00421696" w:rsidP="00421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B0CAA3" w14:textId="77777777" w:rsidR="00D4053E" w:rsidRDefault="00D4053E" w:rsidP="00421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F61DBA" w14:textId="7DE85FD1" w:rsidR="00421696" w:rsidRDefault="00421696" w:rsidP="00421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Nota bene: the amount per day is calculated as follows:</w:t>
      </w:r>
    </w:p>
    <w:p w14:paraId="219CC7CC" w14:textId="34938E4D" w:rsidR="00421696" w:rsidRDefault="00421696" w:rsidP="002C0B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 to the 14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  <w:r w:rsidR="003F15A4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  <w:r w:rsidR="003F15A4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 the 15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16A9AA5D" w14:textId="77777777" w:rsidR="00421696" w:rsidRDefault="00421696" w:rsidP="00421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F97B2E" w14:textId="77777777" w:rsidR="00421696" w:rsidRDefault="00421696" w:rsidP="004216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EF7572F" w14:textId="77777777" w:rsidR="00421696" w:rsidRDefault="00421696" w:rsidP="004216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HE student mobility between Programme and Partner Countries</w:t>
      </w:r>
    </w:p>
    <w:p w14:paraId="01D88281" w14:textId="77777777" w:rsidR="00421696" w:rsidRDefault="00421696" w:rsidP="004216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3498"/>
        <w:gridCol w:w="2969"/>
      </w:tblGrid>
      <w:tr w:rsidR="00421696" w14:paraId="4645393D" w14:textId="77777777" w:rsidTr="00421696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3312E" w14:textId="77777777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292E4" w14:textId="77777777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A3C39" w14:textId="77777777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421696" w14:paraId="148F07C4" w14:textId="77777777" w:rsidTr="00421696">
        <w:trPr>
          <w:trHeight w:val="138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1AD87" w14:textId="77777777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Programme Countries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B021E" w14:textId="77777777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Partner Countries from Regions 1-4 and 6-13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E5DB" w14:textId="58B31200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700</w:t>
            </w:r>
            <w:r w:rsidR="00F40F0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EUR per month</w:t>
            </w:r>
          </w:p>
          <w:p w14:paraId="4DBADBCC" w14:textId="77777777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21696" w14:paraId="7D56D02E" w14:textId="77777777" w:rsidTr="00421696">
        <w:trPr>
          <w:trHeight w:val="278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997D5" w14:textId="77777777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Programme Countries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2B7F9" w14:textId="77777777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Partner Countries from Regions 5 and 14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88D05" w14:textId="77777777" w:rsidR="00421696" w:rsidRDefault="00421696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Same rates as for student mobility between Programme Countries apply.</w:t>
            </w:r>
          </w:p>
        </w:tc>
      </w:tr>
    </w:tbl>
    <w:p w14:paraId="067D6CFA" w14:textId="77777777" w:rsidR="00421696" w:rsidRDefault="00421696" w:rsidP="00421696">
      <w:pPr>
        <w:spacing w:after="0" w:line="240" w:lineRule="auto"/>
        <w:rPr>
          <w:rFonts w:ascii="Times New Roman" w:hAnsi="Times New Roman" w:cs="Times New Roman"/>
        </w:rPr>
      </w:pPr>
    </w:p>
    <w:p w14:paraId="14CA5477" w14:textId="77777777" w:rsidR="00421696" w:rsidRDefault="00421696" w:rsidP="00421696">
      <w:pPr>
        <w:pStyle w:val="Lijstaline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Students and recent graduates with fewer opportunities:  </w:t>
      </w:r>
      <w:r>
        <w:rPr>
          <w:rFonts w:ascii="Times New Roman" w:hAnsi="Times New Roman"/>
          <w:sz w:val="24"/>
          <w:szCs w:val="24"/>
        </w:rPr>
        <w:t xml:space="preserve">additional top-up to the individual support </w:t>
      </w:r>
      <w:r>
        <w:rPr>
          <w:rFonts w:ascii="Times New Roman" w:hAnsi="Times New Roman"/>
          <w:snapToGrid w:val="0"/>
          <w:kern w:val="3"/>
          <w:sz w:val="24"/>
          <w:szCs w:val="24"/>
          <w:lang w:eastAsia="zh-CN"/>
        </w:rPr>
        <w:t xml:space="preserve">of </w:t>
      </w:r>
      <w:r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>250</w:t>
      </w:r>
      <w:r>
        <w:rPr>
          <w:rFonts w:ascii="Times New Roman" w:hAnsi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 xml:space="preserve">EUR/month. </w:t>
      </w:r>
    </w:p>
    <w:p w14:paraId="31172210" w14:textId="77777777" w:rsidR="00421696" w:rsidRDefault="00421696" w:rsidP="00421696">
      <w:pPr>
        <w:pStyle w:val="Lijstaline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Student mobility for traineeships:  </w:t>
      </w:r>
      <w:r>
        <w:rPr>
          <w:rFonts w:ascii="Times New Roman" w:hAnsi="Times New Roman"/>
          <w:sz w:val="24"/>
          <w:szCs w:val="24"/>
        </w:rPr>
        <w:t xml:space="preserve">additional top-up amount to the individual support of </w:t>
      </w:r>
      <w:r>
        <w:rPr>
          <w:rFonts w:ascii="Times New Roman" w:hAnsi="Times New Roman"/>
          <w:b/>
          <w:sz w:val="24"/>
          <w:szCs w:val="24"/>
        </w:rPr>
        <w:t xml:space="preserve">150 EUR per month </w:t>
      </w:r>
      <w:r>
        <w:rPr>
          <w:rFonts w:ascii="Times New Roman" w:hAnsi="Times New Roman"/>
          <w:sz w:val="24"/>
          <w:szCs w:val="24"/>
        </w:rPr>
        <w:t>applies only in the case of mobility to Partner Countries from Regions 5 and 14.</w:t>
      </w:r>
    </w:p>
    <w:p w14:paraId="5F828891" w14:textId="77777777" w:rsidR="00421696" w:rsidRDefault="00421696" w:rsidP="00421696">
      <w:pPr>
        <w:pStyle w:val="Lijstaline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Students and recent graduates on short-term physical mobility</w:t>
      </w:r>
      <w:r>
        <w:rPr>
          <w:rFonts w:ascii="Times New Roman" w:hAnsi="Times New Roman"/>
          <w:sz w:val="24"/>
          <w:szCs w:val="24"/>
        </w:rPr>
        <w:t xml:space="preserve"> receive </w:t>
      </w:r>
      <w:r>
        <w:rPr>
          <w:rFonts w:ascii="Times New Roman" w:hAnsi="Times New Roman"/>
          <w:b/>
          <w:sz w:val="24"/>
          <w:szCs w:val="24"/>
        </w:rPr>
        <w:t>70 EUR per day</w:t>
      </w:r>
      <w:r>
        <w:rPr>
          <w:rFonts w:ascii="Times New Roman" w:hAnsi="Times New Roman"/>
          <w:sz w:val="24"/>
          <w:szCs w:val="24"/>
        </w:rPr>
        <w:t xml:space="preserve"> up to the 14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day of activity, and </w:t>
      </w:r>
      <w:r>
        <w:rPr>
          <w:rFonts w:ascii="Times New Roman" w:hAnsi="Times New Roman"/>
          <w:b/>
          <w:sz w:val="24"/>
          <w:szCs w:val="24"/>
        </w:rPr>
        <w:t>50 EUR per day</w:t>
      </w:r>
      <w:r>
        <w:rPr>
          <w:rFonts w:ascii="Times New Roman" w:hAnsi="Times New Roman"/>
          <w:sz w:val="24"/>
          <w:szCs w:val="24"/>
        </w:rPr>
        <w:t xml:space="preserve"> between the 15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to the 30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day of activity.</w:t>
      </w:r>
    </w:p>
    <w:p w14:paraId="2DBE0AD4" w14:textId="77777777" w:rsidR="00421696" w:rsidRDefault="00421696" w:rsidP="00421696">
      <w:pPr>
        <w:pStyle w:val="Lijstaline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Students and recent graduates with fewer opportunities on short-term physical mobility</w:t>
      </w:r>
      <w:r>
        <w:rPr>
          <w:rFonts w:ascii="Times New Roman" w:hAnsi="Times New Roman"/>
          <w:sz w:val="24"/>
          <w:szCs w:val="24"/>
        </w:rPr>
        <w:t xml:space="preserve"> receive a top-up amount to the individual support of </w:t>
      </w:r>
      <w:r>
        <w:rPr>
          <w:rFonts w:ascii="Times New Roman" w:hAnsi="Times New Roman"/>
          <w:b/>
          <w:sz w:val="24"/>
          <w:szCs w:val="24"/>
        </w:rPr>
        <w:t xml:space="preserve">100 EUR </w:t>
      </w:r>
      <w:r>
        <w:rPr>
          <w:rFonts w:ascii="Times New Roman" w:hAnsi="Times New Roman"/>
          <w:sz w:val="24"/>
          <w:szCs w:val="24"/>
        </w:rPr>
        <w:t xml:space="preserve"> for a physical mobility activity period of 5-14 days and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for the one of 15-30 days. The top-up amount for traineeship does not apply in this case.</w:t>
      </w:r>
    </w:p>
    <w:p w14:paraId="6EB22CEC" w14:textId="77777777" w:rsidR="00421696" w:rsidRDefault="00421696" w:rsidP="00421696">
      <w:pPr>
        <w:spacing w:after="0" w:line="240" w:lineRule="auto"/>
        <w:rPr>
          <w:rFonts w:ascii="Times New Roman" w:hAnsi="Times New Roman" w:cs="Times New Roman"/>
        </w:rPr>
      </w:pPr>
    </w:p>
    <w:p w14:paraId="447245A2" w14:textId="77777777" w:rsidR="00421696" w:rsidRDefault="00421696" w:rsidP="0042169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3. Organisational support</w:t>
      </w:r>
    </w:p>
    <w:p w14:paraId="6EE620E7" w14:textId="77777777" w:rsidR="00421696" w:rsidRDefault="00421696" w:rsidP="0042169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D8941F2" w14:textId="77777777" w:rsidR="00421696" w:rsidRDefault="00421696" w:rsidP="00421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 to the 100th participant: 400 EUR per participant </w:t>
      </w:r>
    </w:p>
    <w:p w14:paraId="65B3967C" w14:textId="77777777" w:rsidR="00421696" w:rsidRDefault="00421696" w:rsidP="00421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beyond the 100th participant: 230 EUR per additional participant.</w:t>
      </w:r>
    </w:p>
    <w:p w14:paraId="35A10E61" w14:textId="77777777" w:rsidR="00421696" w:rsidRDefault="00421696" w:rsidP="00421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17853" w14:textId="77777777" w:rsidR="00421696" w:rsidRDefault="00421696" w:rsidP="00421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Inclusion support</w:t>
      </w:r>
    </w:p>
    <w:p w14:paraId="7962073A" w14:textId="77777777" w:rsidR="00421696" w:rsidRDefault="00421696" w:rsidP="00421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C3EAC" w14:textId="77777777" w:rsidR="00421696" w:rsidRDefault="00421696" w:rsidP="00421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</w:t>
      </w:r>
      <w:r>
        <w:t xml:space="preserve"> </w:t>
      </w:r>
      <w:r>
        <w:rPr>
          <w:rFonts w:ascii="Times New Roman" w:hAnsi="Times New Roman"/>
          <w:sz w:val="24"/>
          <w:szCs w:val="24"/>
        </w:rPr>
        <w:t>requiring additional support based on real costs.</w:t>
      </w:r>
    </w:p>
    <w:p w14:paraId="1BE447DC" w14:textId="77777777" w:rsidR="00421696" w:rsidRPr="00421696" w:rsidRDefault="00421696" w:rsidP="00421696"/>
    <w:sectPr w:rsidR="00421696" w:rsidRPr="00421696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BBE"/>
    <w:multiLevelType w:val="hybridMultilevel"/>
    <w:tmpl w:val="B1CE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67DA"/>
    <w:multiLevelType w:val="hybridMultilevel"/>
    <w:tmpl w:val="6DA2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7828"/>
    <w:multiLevelType w:val="hybridMultilevel"/>
    <w:tmpl w:val="2174D2A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02D66"/>
    <w:rsid w:val="0004022B"/>
    <w:rsid w:val="000501A2"/>
    <w:rsid w:val="000D504E"/>
    <w:rsid w:val="000F5B7A"/>
    <w:rsid w:val="00291D7F"/>
    <w:rsid w:val="002C0BD1"/>
    <w:rsid w:val="002D2A5F"/>
    <w:rsid w:val="003634CF"/>
    <w:rsid w:val="003A3EC2"/>
    <w:rsid w:val="003E3FCC"/>
    <w:rsid w:val="003F15A4"/>
    <w:rsid w:val="003F3F14"/>
    <w:rsid w:val="004125E7"/>
    <w:rsid w:val="00421696"/>
    <w:rsid w:val="00430D12"/>
    <w:rsid w:val="0045432C"/>
    <w:rsid w:val="0046296A"/>
    <w:rsid w:val="004C6A6D"/>
    <w:rsid w:val="00523CFE"/>
    <w:rsid w:val="00525F53"/>
    <w:rsid w:val="005718C6"/>
    <w:rsid w:val="005862A9"/>
    <w:rsid w:val="00587C0B"/>
    <w:rsid w:val="005C4DEF"/>
    <w:rsid w:val="005F3970"/>
    <w:rsid w:val="005F632B"/>
    <w:rsid w:val="006C4C6A"/>
    <w:rsid w:val="006D1AF1"/>
    <w:rsid w:val="006D74F7"/>
    <w:rsid w:val="0072048B"/>
    <w:rsid w:val="00724968"/>
    <w:rsid w:val="007335B7"/>
    <w:rsid w:val="007443FC"/>
    <w:rsid w:val="007802D8"/>
    <w:rsid w:val="00785C88"/>
    <w:rsid w:val="007E07E6"/>
    <w:rsid w:val="008328A1"/>
    <w:rsid w:val="00850120"/>
    <w:rsid w:val="00855240"/>
    <w:rsid w:val="00866095"/>
    <w:rsid w:val="008916BE"/>
    <w:rsid w:val="008A0D3A"/>
    <w:rsid w:val="008E179D"/>
    <w:rsid w:val="008F18D8"/>
    <w:rsid w:val="00912359"/>
    <w:rsid w:val="00925734"/>
    <w:rsid w:val="009444DF"/>
    <w:rsid w:val="00970744"/>
    <w:rsid w:val="009723B4"/>
    <w:rsid w:val="00997EB1"/>
    <w:rsid w:val="009A01BC"/>
    <w:rsid w:val="009C18A6"/>
    <w:rsid w:val="009D6416"/>
    <w:rsid w:val="009F1623"/>
    <w:rsid w:val="00A071B4"/>
    <w:rsid w:val="00A40237"/>
    <w:rsid w:val="00A91261"/>
    <w:rsid w:val="00AB45F7"/>
    <w:rsid w:val="00AC77B8"/>
    <w:rsid w:val="00B000DD"/>
    <w:rsid w:val="00B716A6"/>
    <w:rsid w:val="00B7716A"/>
    <w:rsid w:val="00B97185"/>
    <w:rsid w:val="00BB4C4B"/>
    <w:rsid w:val="00BC496D"/>
    <w:rsid w:val="00C6134E"/>
    <w:rsid w:val="00D16EFE"/>
    <w:rsid w:val="00D238F1"/>
    <w:rsid w:val="00D4053E"/>
    <w:rsid w:val="00D60AE3"/>
    <w:rsid w:val="00D72D11"/>
    <w:rsid w:val="00D73ED3"/>
    <w:rsid w:val="00D83660"/>
    <w:rsid w:val="00DE37ED"/>
    <w:rsid w:val="00DE439A"/>
    <w:rsid w:val="00E23060"/>
    <w:rsid w:val="00EA29D6"/>
    <w:rsid w:val="00ED7250"/>
    <w:rsid w:val="00F16BDB"/>
    <w:rsid w:val="00F37C3F"/>
    <w:rsid w:val="00F40F01"/>
    <w:rsid w:val="00F703C1"/>
    <w:rsid w:val="00F77B31"/>
    <w:rsid w:val="00F96D90"/>
    <w:rsid w:val="00FA4E22"/>
    <w:rsid w:val="00F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E1B4"/>
  <w15:docId w15:val="{3CE976FC-F9AA-4030-A545-0F688D47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01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6134E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e">
    <w:name w:val="Revision"/>
    <w:hidden/>
    <w:uiPriority w:val="99"/>
    <w:semiHidden/>
    <w:rsid w:val="00523CF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A4E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4E2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4E2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4E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4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DEPDOC-959341906-207510</_dlc_DocId>
    <_dlc_DocIdUrl xmlns="27a646ec-b11d-44f2-b007-16ce52b3018b">
      <Url>https://nuffic.sharepoint.com/sites/departments/na/_layouts/15/DocIdRedir.aspx?ID=DEPDOC-959341906-207510</Url>
      <Description>DEPDOC-959341906-207510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224C2C53E5E37643AFC355722DD40B5003004CA53CEE9AE75B479B2924750BB76717" ma:contentTypeVersion="442" ma:contentTypeDescription="EP-Nuffic PowerPoint presentatie voor normaal beeldscherm (4:3)" ma:contentTypeScope="" ma:versionID="bcbed31a58624b6b5d636d2f373dab89">
  <xsd:schema xmlns:xsd="http://www.w3.org/2001/XMLSchema" xmlns:xs="http://www.w3.org/2001/XMLSchema" xmlns:p="http://schemas.microsoft.com/office/2006/metadata/properties" xmlns:ns2="a5b636ef-3700-47d8-93b9-5f3e281b284e" xmlns:ns3="27a646ec-b11d-44f2-b007-16ce52b3018b" targetNamespace="http://schemas.microsoft.com/office/2006/metadata/properties" ma:root="true" ma:fieldsID="046f62be7ad5765c5f343fb27b2bd593" ns2:_="" ns3:_="">
    <xsd:import namespace="a5b636ef-3700-47d8-93b9-5f3e281b284e"/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36ef-3700-47d8-93b9-5f3e281b2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4ae14868-6f31-44f0-b410-52f19e37ad77" ContentTypeId="0x010100224C2C53E5E37643AFC355722DD40B5003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D25100-0BB2-44AC-89C7-6AB089B90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5B8B1-3F7D-40FF-95D8-F9911F190C1B}">
  <ds:schemaRefs>
    <ds:schemaRef ds:uri="http://schemas.microsoft.com/office/2006/metadata/properties"/>
    <ds:schemaRef ds:uri="http://schemas.microsoft.com/office/infopath/2007/PartnerControls"/>
    <ds:schemaRef ds:uri="ab5acbb8-d540-4bde-93f8-a15e5c433b31"/>
  </ds:schemaRefs>
</ds:datastoreItem>
</file>

<file path=customXml/itemProps3.xml><?xml version="1.0" encoding="utf-8"?>
<ds:datastoreItem xmlns:ds="http://schemas.openxmlformats.org/officeDocument/2006/customXml" ds:itemID="{37C71A3D-5B44-40E4-AE37-58D8F6DA63AB}"/>
</file>

<file path=customXml/itemProps4.xml><?xml version="1.0" encoding="utf-8"?>
<ds:datastoreItem xmlns:ds="http://schemas.openxmlformats.org/officeDocument/2006/customXml" ds:itemID="{28808D96-ADBB-429F-891F-9F42919D54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BE7EE3-B306-45F1-8D8C-A1478A4A4B97}"/>
</file>

<file path=customXml/itemProps6.xml><?xml version="1.0" encoding="utf-8"?>
<ds:datastoreItem xmlns:ds="http://schemas.openxmlformats.org/officeDocument/2006/customXml" ds:itemID="{D7F4E407-1C1B-439B-9A4B-750E079E9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1407</Words>
  <Characters>7744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Joy Plokker</cp:lastModifiedBy>
  <cp:revision>4</cp:revision>
  <cp:lastPrinted>2016-04-20T09:41:00Z</cp:lastPrinted>
  <dcterms:created xsi:type="dcterms:W3CDTF">2021-08-11T08:42:00Z</dcterms:created>
  <dcterms:modified xsi:type="dcterms:W3CDTF">2021-08-11T08:55:00Z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0x010100224C2C53E5E37643AFC355722DD40B5003004CA53CEE9AE75B479B2924750BB76717</vt:lpwstr>
  </property>
  <property fmtid="{D5CDD505-2E9C-101B-9397-08002B2CF9AE}" pid="3" name="_dlc_DocIdItemGuid">
    <vt:lpwstr>336bba6b-d212-48c8-8a86-4f7272e14b5e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