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1596FD8E" w:rsidR="00990FDB" w:rsidRPr="007E7CED" w:rsidRDefault="004C36E4" w:rsidP="00162651">
      <w:pPr>
        <w:pStyle w:val="Lijstopsomteken"/>
        <w:jc w:val="center"/>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w:t>
      </w:r>
      <w:r w:rsidR="00162651">
        <w:rPr>
          <w:highlight w:val="lightGray"/>
          <w:shd w:val="clear" w:color="auto" w:fill="FFFF00"/>
        </w:rPr>
        <w:t xml:space="preserve"> </w:t>
      </w:r>
      <w:r w:rsidR="006A1E1F" w:rsidRPr="004C36E4">
        <w:rPr>
          <w:highlight w:val="lightGray"/>
          <w:shd w:val="clear" w:color="auto" w:fill="FFFF00"/>
        </w:rPr>
        <w:t>youth</w:t>
      </w:r>
      <w:r w:rsidRPr="004C36E4">
        <w:rPr>
          <w:highlight w:val="lightGray"/>
          <w:shd w:val="clear" w:color="auto" w:fill="FFFF00"/>
        </w:rPr>
        <w:t>]</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Kopvaninhoudsopgave"/>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70C7BC7B" w:rsidR="00B87EEB" w:rsidRDefault="0062612F">
          <w:pPr>
            <w:pStyle w:val="Inhopg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B87EEB">
              <w:rPr>
                <w:noProof/>
                <w:webHidden/>
              </w:rPr>
              <w:t>1</w:t>
            </w:r>
            <w:r w:rsidR="00B87EEB">
              <w:rPr>
                <w:noProof/>
                <w:webHidden/>
              </w:rPr>
              <w:fldChar w:fldCharType="end"/>
            </w:r>
          </w:hyperlink>
        </w:p>
        <w:p w14:paraId="7BCB4429" w14:textId="507D39B4" w:rsidR="00B87EEB" w:rsidRDefault="00DA2C13">
          <w:pPr>
            <w:pStyle w:val="Inhopg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B87EEB">
              <w:rPr>
                <w:noProof/>
                <w:webHidden/>
              </w:rPr>
              <w:t>15</w:t>
            </w:r>
            <w:r w:rsidR="00B87EEB">
              <w:rPr>
                <w:noProof/>
                <w:webHidden/>
              </w:rPr>
              <w:fldChar w:fldCharType="end"/>
            </w:r>
          </w:hyperlink>
        </w:p>
        <w:p w14:paraId="4002E47C" w14:textId="48E93110" w:rsidR="00B87EEB" w:rsidRDefault="00DA2C13">
          <w:pPr>
            <w:pStyle w:val="Inhopg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B87EEB">
              <w:rPr>
                <w:noProof/>
                <w:webHidden/>
              </w:rPr>
              <w:t>18</w:t>
            </w:r>
            <w:r w:rsidR="00B87EEB">
              <w:rPr>
                <w:noProof/>
                <w:webHidden/>
              </w:rPr>
              <w:fldChar w:fldCharType="end"/>
            </w:r>
          </w:hyperlink>
        </w:p>
        <w:p w14:paraId="4A04522C" w14:textId="08A6F05D" w:rsidR="00B87EEB" w:rsidRDefault="00DA2C13">
          <w:pPr>
            <w:pStyle w:val="Inhopg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B87EEB">
              <w:rPr>
                <w:noProof/>
                <w:webHidden/>
              </w:rPr>
              <w:t>18</w:t>
            </w:r>
            <w:r w:rsidR="00B87EEB">
              <w:rPr>
                <w:noProof/>
                <w:webHidden/>
              </w:rPr>
              <w:fldChar w:fldCharType="end"/>
            </w:r>
          </w:hyperlink>
        </w:p>
        <w:p w14:paraId="22D135C2" w14:textId="36A346D4" w:rsidR="00B87EEB" w:rsidRDefault="00DA2C13">
          <w:pPr>
            <w:pStyle w:val="Inhopg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B87EEB">
              <w:rPr>
                <w:noProof/>
                <w:webHidden/>
              </w:rPr>
              <w:t>19</w:t>
            </w:r>
            <w:r w:rsidR="00B87EEB">
              <w:rPr>
                <w:noProof/>
                <w:webHidden/>
              </w:rPr>
              <w:fldChar w:fldCharType="end"/>
            </w:r>
          </w:hyperlink>
        </w:p>
        <w:p w14:paraId="4F0809CD" w14:textId="367DA135" w:rsidR="00B87EEB" w:rsidRDefault="00DA2C13">
          <w:pPr>
            <w:pStyle w:val="Inhopg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B87EEB">
              <w:rPr>
                <w:noProof/>
                <w:webHidden/>
              </w:rPr>
              <w:t>20</w:t>
            </w:r>
            <w:r w:rsidR="00B87EEB">
              <w:rPr>
                <w:noProof/>
                <w:webHidden/>
              </w:rPr>
              <w:fldChar w:fldCharType="end"/>
            </w:r>
          </w:hyperlink>
        </w:p>
        <w:p w14:paraId="026CCB67" w14:textId="09E810BF" w:rsidR="00B87EEB" w:rsidRDefault="00DA2C13">
          <w:pPr>
            <w:pStyle w:val="Inhopg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B87EEB">
              <w:rPr>
                <w:noProof/>
                <w:webHidden/>
              </w:rPr>
              <w:t>22</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Kop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Platteteks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jstalinea"/>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jstalinea"/>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1094C183" w:rsidR="00B20DB0" w:rsidRPr="00087269" w:rsidRDefault="00B20DB0" w:rsidP="00087269">
      <w:pPr>
        <w:pStyle w:val="Lijstalinea"/>
        <w:numPr>
          <w:ilvl w:val="0"/>
          <w:numId w:val="46"/>
        </w:numPr>
        <w:tabs>
          <w:tab w:val="clear" w:pos="0"/>
          <w:tab w:val="num" w:pos="284"/>
        </w:tabs>
        <w:ind w:left="426" w:hanging="284"/>
        <w:jc w:val="both"/>
        <w:rPr>
          <w:rFonts w:ascii="Times New Roman" w:hAnsi="Times New Roman"/>
          <w:b/>
          <w:bCs/>
          <w:sz w:val="24"/>
          <w:szCs w:val="24"/>
          <w:u w:val="single"/>
          <w:lang w:val="en-US"/>
        </w:rPr>
      </w:pPr>
      <w:r w:rsidRPr="00560563">
        <w:rPr>
          <w:rFonts w:ascii="Times New Roman" w:hAnsi="Times New Roman"/>
          <w:b/>
          <w:bCs/>
          <w:sz w:val="24"/>
          <w:szCs w:val="24"/>
          <w:u w:val="single"/>
          <w:shd w:val="clear" w:color="auto" w:fill="FFFF00"/>
          <w:lang w:val="en-US"/>
        </w:rPr>
        <w:t>Travel</w:t>
      </w:r>
      <w:r w:rsidR="006D050B">
        <w:rPr>
          <w:rFonts w:ascii="Times New Roman" w:hAnsi="Times New Roman"/>
          <w:b/>
          <w:bCs/>
          <w:sz w:val="24"/>
          <w:szCs w:val="24"/>
          <w:u w:val="single"/>
          <w:shd w:val="clear" w:color="auto" w:fill="FFFF00"/>
          <w:lang w:val="en-US"/>
        </w:rPr>
        <w:t xml:space="preserve"> </w:t>
      </w:r>
    </w:p>
    <w:p w14:paraId="0C70316E" w14:textId="77777777" w:rsidR="00B20DB0" w:rsidRDefault="00B20DB0">
      <w:pPr>
        <w:pStyle w:val="Lijstalinea"/>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0D007DC7" w:rsidR="00B20DB0" w:rsidRPr="00087269" w:rsidRDefault="00B20DB0" w:rsidP="001F5D9A">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participants</w:t>
      </w:r>
      <w:r w:rsidR="006D050B">
        <w:rPr>
          <w:rFonts w:ascii="Times New Roman" w:hAnsi="Times New Roman"/>
          <w:sz w:val="24"/>
          <w:szCs w:val="24"/>
        </w:rPr>
        <w:t xml:space="preserve">, </w:t>
      </w:r>
      <w:r w:rsidR="00FD0ACA">
        <w:rPr>
          <w:rFonts w:ascii="Times New Roman" w:hAnsi="Times New Roman"/>
          <w:sz w:val="24"/>
          <w:szCs w:val="24"/>
        </w:rPr>
        <w:t>accompanying persons, facilitators and group leaders</w:t>
      </w:r>
      <w:r w:rsidR="00BB7925">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boat),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3522FFD4" w14:textId="77777777" w:rsidR="00B20DB0" w:rsidRDefault="00B20DB0" w:rsidP="0051078E">
      <w:pPr>
        <w:pStyle w:val="Lijstalinea"/>
        <w:ind w:left="567"/>
        <w:jc w:val="both"/>
        <w:rPr>
          <w:rFonts w:ascii="Times New Roman" w:eastAsia="Times New Roman" w:hAnsi="Times New Roman"/>
          <w:color w:val="000000"/>
          <w:sz w:val="24"/>
          <w:szCs w:val="24"/>
        </w:rPr>
      </w:pPr>
    </w:p>
    <w:p w14:paraId="6CB00A6C" w14:textId="031F1451" w:rsidR="00F2376B" w:rsidRPr="00087269" w:rsidRDefault="00F2376B" w:rsidP="00087269">
      <w:pPr>
        <w:pStyle w:val="Lijstalinea"/>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In the case of itinerant activities, the grant amount is calculated by</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multiplying the number of participants per </w:t>
      </w:r>
      <w:r w:rsidRPr="00E339D6">
        <w:rPr>
          <w:rFonts w:ascii="Times New Roman" w:eastAsia="Times New Roman" w:hAnsi="Times New Roman"/>
          <w:color w:val="000000"/>
          <w:sz w:val="24"/>
          <w:szCs w:val="24"/>
        </w:rPr>
        <w:t>the distance band corresponding to the total</w:t>
      </w:r>
      <w:r>
        <w:rPr>
          <w:rFonts w:ascii="Times New Roman" w:eastAsia="Times New Roman" w:hAnsi="Times New Roman"/>
          <w:color w:val="000000"/>
          <w:sz w:val="24"/>
          <w:szCs w:val="24"/>
        </w:rPr>
        <w:t xml:space="preserve"> of</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sum of </w:t>
      </w:r>
      <w:r w:rsidRPr="00E339D6">
        <w:rPr>
          <w:rFonts w:ascii="Times New Roman" w:eastAsia="Times New Roman" w:hAnsi="Times New Roman"/>
          <w:color w:val="000000"/>
          <w:sz w:val="24"/>
          <w:szCs w:val="24"/>
        </w:rPr>
        <w:t>the dist</w:t>
      </w:r>
      <w:r>
        <w:rPr>
          <w:rFonts w:ascii="Times New Roman" w:eastAsia="Times New Roman" w:hAnsi="Times New Roman"/>
          <w:color w:val="000000"/>
          <w:sz w:val="24"/>
          <w:szCs w:val="24"/>
        </w:rPr>
        <w:t>a</w:t>
      </w:r>
      <w:r w:rsidR="006D050B">
        <w:rPr>
          <w:rFonts w:ascii="Times New Roman" w:eastAsia="Times New Roman" w:hAnsi="Times New Roman"/>
          <w:color w:val="000000"/>
          <w:sz w:val="24"/>
          <w:szCs w:val="24"/>
        </w:rPr>
        <w:t>nces between individual venues.</w:t>
      </w:r>
    </w:p>
    <w:p w14:paraId="39BE67CD" w14:textId="77777777" w:rsidR="00F2376B" w:rsidRDefault="00F2376B" w:rsidP="0051078E">
      <w:pPr>
        <w:spacing w:after="0"/>
        <w:ind w:left="567"/>
        <w:jc w:val="both"/>
        <w:rPr>
          <w:rFonts w:ascii="Times New Roman" w:hAnsi="Times New Roman"/>
          <w:sz w:val="24"/>
          <w:szCs w:val="24"/>
        </w:rPr>
      </w:pP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DA2C13"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3290C5D3" w14:textId="044DDD6A" w:rsidR="0075704F" w:rsidRPr="006D050B" w:rsidRDefault="00723FCC" w:rsidP="006D050B">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r w:rsidR="006D050B">
        <w:rPr>
          <w:rFonts w:ascii="Times New Roman" w:hAnsi="Times New Roman"/>
          <w:sz w:val="24"/>
          <w:szCs w:val="24"/>
        </w:rPr>
        <w:t>: p</w:t>
      </w:r>
      <w:r w:rsidR="00B20DB0" w:rsidRPr="006D050B">
        <w:rPr>
          <w:rFonts w:ascii="Times New Roman" w:eastAsia="Times New Roman" w:hAnsi="Times New Roman"/>
          <w:color w:val="000000"/>
          <w:sz w:val="24"/>
          <w:szCs w:val="24"/>
        </w:rPr>
        <w:t>roof of attendance of the activity in the form of a declaration</w:t>
      </w:r>
      <w:r w:rsidR="00CD134A" w:rsidRPr="006D050B">
        <w:rPr>
          <w:rFonts w:ascii="Times New Roman" w:eastAsia="Times New Roman" w:hAnsi="Times New Roman"/>
          <w:color w:val="000000"/>
          <w:sz w:val="24"/>
          <w:szCs w:val="24"/>
        </w:rPr>
        <w:t xml:space="preserve"> </w:t>
      </w:r>
      <w:r w:rsidR="00B20DB0" w:rsidRPr="006D050B">
        <w:rPr>
          <w:rFonts w:ascii="Times New Roman" w:eastAsia="Times New Roman" w:hAnsi="Times New Roman"/>
          <w:color w:val="000000"/>
          <w:sz w:val="24"/>
          <w:szCs w:val="24"/>
        </w:rPr>
        <w:t>signed by the</w:t>
      </w:r>
      <w:r w:rsidR="00795EEB" w:rsidRPr="006D050B">
        <w:rPr>
          <w:rFonts w:ascii="Times New Roman" w:eastAsia="Times New Roman" w:hAnsi="Times New Roman"/>
          <w:color w:val="000000"/>
          <w:sz w:val="24"/>
          <w:szCs w:val="24"/>
        </w:rPr>
        <w:t xml:space="preserve"> participant, by the</w:t>
      </w:r>
      <w:r w:rsidR="00B20DB0" w:rsidRPr="006D050B">
        <w:rPr>
          <w:rFonts w:ascii="Times New Roman" w:eastAsia="Times New Roman" w:hAnsi="Times New Roman"/>
          <w:color w:val="000000"/>
          <w:sz w:val="24"/>
          <w:szCs w:val="24"/>
        </w:rPr>
        <w:t xml:space="preserve"> receiving organisation</w:t>
      </w:r>
      <w:r w:rsidR="00CD134A" w:rsidRPr="006D050B">
        <w:rPr>
          <w:rFonts w:ascii="Times New Roman" w:eastAsia="Times New Roman" w:hAnsi="Times New Roman"/>
          <w:color w:val="000000"/>
          <w:sz w:val="24"/>
          <w:szCs w:val="24"/>
        </w:rPr>
        <w:t>, and</w:t>
      </w:r>
      <w:r w:rsidR="00B20DB0" w:rsidRPr="006D050B">
        <w:rPr>
          <w:rFonts w:ascii="Times New Roman" w:eastAsia="Times New Roman" w:hAnsi="Times New Roman"/>
          <w:color w:val="000000"/>
          <w:sz w:val="24"/>
          <w:szCs w:val="24"/>
        </w:rPr>
        <w:t xml:space="preserve"> specifying the name of the participant, the purpose of the activity, as well as its starting and end date</w:t>
      </w:r>
      <w:r w:rsidR="00B20DB0" w:rsidRPr="006D050B">
        <w:rPr>
          <w:rFonts w:ascii="Times New Roman" w:hAnsi="Times New Roman"/>
          <w:color w:val="000000"/>
          <w:sz w:val="24"/>
          <w:szCs w:val="24"/>
        </w:rPr>
        <w:t>.</w:t>
      </w:r>
    </w:p>
    <w:p w14:paraId="195DCBD2" w14:textId="77777777" w:rsidR="00BC7854" w:rsidRDefault="00BC7854" w:rsidP="006D050B">
      <w:pPr>
        <w:spacing w:after="0"/>
        <w:jc w:val="both"/>
        <w:rPr>
          <w:rFonts w:ascii="Times New Roman" w:hAnsi="Times New Roman"/>
          <w:sz w:val="24"/>
          <w:szCs w:val="24"/>
        </w:rPr>
      </w:pPr>
    </w:p>
    <w:p w14:paraId="48CD99E5" w14:textId="08273A92" w:rsidR="00B0214D" w:rsidRPr="007E7CED" w:rsidRDefault="00B0214D" w:rsidP="006D050B">
      <w:pPr>
        <w:autoSpaceDE w:val="0"/>
        <w:autoSpaceDN w:val="0"/>
        <w:spacing w:after="0" w:line="240" w:lineRule="auto"/>
        <w:ind w:left="502"/>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6D050B">
        <w:rPr>
          <w:rFonts w:ascii="Times New Roman" w:hAnsi="Times New Roman"/>
          <w:color w:val="000000"/>
          <w:sz w:val="24"/>
          <w:szCs w:val="24"/>
        </w:rPr>
        <w:t>.</w:t>
      </w:r>
    </w:p>
    <w:p w14:paraId="79FBA5C7" w14:textId="77777777" w:rsidR="007259FE" w:rsidRDefault="007259FE" w:rsidP="00C57B6A">
      <w:pPr>
        <w:pStyle w:val="Lijstalinea"/>
        <w:ind w:left="0"/>
        <w:jc w:val="both"/>
        <w:rPr>
          <w:rFonts w:ascii="Times New Roman" w:hAnsi="Times New Roman"/>
          <w:sz w:val="24"/>
          <w:szCs w:val="24"/>
          <w:shd w:val="clear" w:color="auto" w:fill="00FFFF"/>
        </w:rPr>
      </w:pPr>
    </w:p>
    <w:p w14:paraId="4613CCDC" w14:textId="77777777" w:rsidR="00B20DB0" w:rsidRPr="00087269" w:rsidRDefault="00B20DB0" w:rsidP="00087269">
      <w:pPr>
        <w:tabs>
          <w:tab w:val="left" w:pos="851"/>
        </w:tabs>
        <w:spacing w:after="0" w:line="100" w:lineRule="atLeast"/>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5940B2AB" w14:textId="7270312E" w:rsidR="0063172D" w:rsidRPr="003748CE" w:rsidRDefault="0048672D" w:rsidP="00087269">
      <w:pPr>
        <w:numPr>
          <w:ilvl w:val="0"/>
          <w:numId w:val="48"/>
        </w:numPr>
        <w:tabs>
          <w:tab w:val="left" w:pos="567"/>
        </w:tabs>
        <w:spacing w:after="240" w:line="100" w:lineRule="atLeast"/>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006D050B">
        <w:rPr>
          <w:rFonts w:ascii="Times New Roman" w:hAnsi="Times New Roman"/>
          <w:sz w:val="24"/>
          <w:szCs w:val="24"/>
        </w:rPr>
        <w:t xml:space="preserve">, </w:t>
      </w:r>
      <w:r w:rsidR="006F6918">
        <w:rPr>
          <w:rFonts w:ascii="Times New Roman" w:hAnsi="Times New Roman"/>
          <w:sz w:val="24"/>
          <w:szCs w:val="24"/>
        </w:rPr>
        <w:t xml:space="preserve">including decision makers, </w:t>
      </w:r>
      <w:r w:rsidR="006F6918">
        <w:rPr>
          <w:rFonts w:ascii="Times New Roman" w:eastAsia="Times New Roman" w:hAnsi="Times New Roman"/>
          <w:sz w:val="24"/>
          <w:szCs w:val="24"/>
        </w:rPr>
        <w:t>group leader and facilitators</w:t>
      </w:r>
      <w:r w:rsidR="006D050B">
        <w:rPr>
          <w:rFonts w:ascii="Times New Roman" w:eastAsia="Times New Roman" w:hAnsi="Times New Roman"/>
          <w:sz w:val="24"/>
          <w:szCs w:val="24"/>
        </w:rPr>
        <w:t>,</w:t>
      </w:r>
      <w:r w:rsidR="006F6918" w:rsidRPr="006F6918" w:rsidDel="00C55F20">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 xml:space="preserve">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6BEF50F5" w14:textId="55473420" w:rsidR="004F7A26" w:rsidRPr="006D050B" w:rsidRDefault="00990FDB" w:rsidP="006D050B">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r w:rsidR="006D050B">
        <w:rPr>
          <w:rFonts w:ascii="Times New Roman" w:hAnsi="Times New Roman"/>
          <w:sz w:val="24"/>
          <w:szCs w:val="24"/>
        </w:rPr>
        <w:t xml:space="preserve"> p</w:t>
      </w:r>
      <w:r w:rsidR="004F7A26" w:rsidRPr="006D050B">
        <w:rPr>
          <w:rFonts w:ascii="Times New Roman" w:eastAsia="Times New Roman" w:hAnsi="Times New Roman"/>
          <w:color w:val="000000"/>
          <w:sz w:val="24"/>
          <w:szCs w:val="24"/>
        </w:rPr>
        <w:t xml:space="preserve">roof of attendance of the activity in the form of a declaration signed by the </w:t>
      </w:r>
      <w:r w:rsidR="00795EEB" w:rsidRPr="006D050B">
        <w:rPr>
          <w:rFonts w:ascii="Times New Roman" w:eastAsia="Times New Roman" w:hAnsi="Times New Roman"/>
          <w:color w:val="000000"/>
          <w:sz w:val="24"/>
          <w:szCs w:val="24"/>
        </w:rPr>
        <w:t xml:space="preserve">participant and by the </w:t>
      </w:r>
      <w:r w:rsidR="004F7A26" w:rsidRPr="006D050B">
        <w:rPr>
          <w:rFonts w:ascii="Times New Roman" w:eastAsia="Times New Roman" w:hAnsi="Times New Roman"/>
          <w:color w:val="000000"/>
          <w:sz w:val="24"/>
          <w:szCs w:val="24"/>
        </w:rPr>
        <w:t>receiving organisation</w:t>
      </w:r>
      <w:r w:rsidR="00795EEB" w:rsidRPr="006D050B">
        <w:rPr>
          <w:rFonts w:ascii="Times New Roman" w:eastAsia="Times New Roman" w:hAnsi="Times New Roman"/>
          <w:color w:val="000000"/>
          <w:sz w:val="24"/>
          <w:szCs w:val="24"/>
        </w:rPr>
        <w:t>,</w:t>
      </w:r>
      <w:r w:rsidR="004F7A26" w:rsidRPr="006D050B">
        <w:rPr>
          <w:rFonts w:ascii="Times New Roman" w:eastAsia="Times New Roman" w:hAnsi="Times New Roman"/>
          <w:color w:val="000000"/>
          <w:sz w:val="24"/>
          <w:szCs w:val="24"/>
        </w:rPr>
        <w:t xml:space="preserve"> specifying the name of the participant, the purpose of the activity, as well as its starting and end date</w:t>
      </w:r>
      <w:r w:rsidR="006D050B">
        <w:rPr>
          <w:rFonts w:ascii="Times New Roman" w:hAnsi="Times New Roman"/>
          <w:color w:val="000000"/>
          <w:sz w:val="24"/>
          <w:szCs w:val="24"/>
        </w:rPr>
        <w:t>.</w:t>
      </w:r>
    </w:p>
    <w:p w14:paraId="53F15615" w14:textId="443F0AE8" w:rsidR="00B20DB0" w:rsidRDefault="00B20DB0" w:rsidP="004A2024">
      <w:pPr>
        <w:ind w:left="567" w:hanging="425"/>
        <w:jc w:val="both"/>
        <w:rPr>
          <w:rFonts w:ascii="Times New Roman" w:hAnsi="Times New Roman"/>
          <w:sz w:val="24"/>
          <w:szCs w:val="24"/>
        </w:rPr>
      </w:pPr>
      <w:r w:rsidRPr="00B445C1">
        <w:rPr>
          <w:rFonts w:ascii="Times New Roman" w:hAnsi="Times New Roman"/>
          <w:sz w:val="24"/>
          <w:szCs w:val="24"/>
          <w:lang w:val="nb-NO"/>
        </w:rPr>
        <w:t>(d)    Reporting:</w:t>
      </w:r>
      <w:r>
        <w:rPr>
          <w:rFonts w:ascii="Times New Roman" w:hAnsi="Times New Roman"/>
          <w:sz w:val="24"/>
          <w:szCs w:val="24"/>
          <w:lang w:val="nb-NO"/>
        </w:rPr>
        <w:t xml:space="preserve"> </w:t>
      </w:r>
    </w:p>
    <w:p w14:paraId="6A4A4948" w14:textId="20EAE8BC" w:rsidR="00562398" w:rsidRPr="00562398" w:rsidRDefault="00B20DB0" w:rsidP="00562398">
      <w:pPr>
        <w:ind w:left="1440"/>
        <w:jc w:val="both"/>
        <w:rPr>
          <w:rFonts w:ascii="Times New Roman" w:hAnsi="Times New Roman"/>
          <w:sz w:val="24"/>
          <w:szCs w:val="24"/>
          <w:lang w:val="en-US" w:eastAsia="en-US"/>
        </w:rPr>
      </w:pPr>
      <w:r>
        <w:rPr>
          <w:rFonts w:ascii="Times New Roman" w:hAnsi="Times New Roman"/>
          <w:sz w:val="24"/>
          <w:szCs w:val="24"/>
        </w:rPr>
        <w:t>Participants</w:t>
      </w:r>
      <w:r w:rsidR="005B07B3">
        <w:rPr>
          <w:rFonts w:ascii="Times New Roman" w:hAnsi="Times New Roman"/>
          <w:sz w:val="24"/>
          <w:szCs w:val="24"/>
        </w:rPr>
        <w:t xml:space="preserve"> </w:t>
      </w:r>
      <w:r w:rsidR="006D050B">
        <w:rPr>
          <w:rFonts w:ascii="Times New Roman" w:hAnsi="Times New Roman"/>
          <w:sz w:val="24"/>
          <w:szCs w:val="24"/>
        </w:rPr>
        <w:t>(</w:t>
      </w:r>
      <w:r w:rsidR="005B07B3" w:rsidRPr="00D878F1">
        <w:rPr>
          <w:rFonts w:ascii="Times New Roman" w:hAnsi="Times New Roman"/>
          <w:sz w:val="24"/>
          <w:szCs w:val="24"/>
        </w:rPr>
        <w:t>Group leaders</w:t>
      </w:r>
      <w:r w:rsidR="006D050B">
        <w:rPr>
          <w:rFonts w:ascii="Times New Roman" w:hAnsi="Times New Roman"/>
          <w:sz w:val="24"/>
          <w:szCs w:val="24"/>
        </w:rPr>
        <w:t>, in case of youth exchanges)</w:t>
      </w:r>
      <w:r>
        <w:rPr>
          <w:rFonts w:ascii="Times New Roman" w:hAnsi="Times New Roman"/>
          <w:sz w:val="24"/>
          <w:szCs w:val="24"/>
        </w:rPr>
        <w:t xml:space="preserve"> in mobility activities</w:t>
      </w:r>
      <w:r w:rsidR="00562398" w:rsidRPr="00562398">
        <w:rPr>
          <w:rFonts w:ascii="Times New Roman" w:hAnsi="Times New Roman"/>
          <w:sz w:val="24"/>
          <w:szCs w:val="24"/>
          <w:lang w:val="en-US"/>
        </w:rPr>
        <w:t xml:space="preserve">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E277E8" w14:textId="2CEAA72A" w:rsidR="00F87693" w:rsidRPr="00D175A2" w:rsidRDefault="00B20DB0" w:rsidP="007F58B3">
      <w:pPr>
        <w:numPr>
          <w:ilvl w:val="0"/>
          <w:numId w:val="5"/>
        </w:numPr>
        <w:spacing w:after="0" w:line="100" w:lineRule="atLeast"/>
        <w:ind w:left="714" w:hanging="567"/>
        <w:jc w:val="both"/>
        <w:rPr>
          <w:rFonts w:ascii="Times New Roman" w:hAnsi="Times New Roman"/>
          <w:sz w:val="24"/>
          <w:szCs w:val="24"/>
        </w:rPr>
      </w:pPr>
      <w:r w:rsidRPr="00D175A2">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Pr>
          <w:rFonts w:ascii="Times New Roman" w:hAnsi="Times New Roman"/>
          <w:sz w:val="24"/>
          <w:szCs w:val="24"/>
        </w:rPr>
        <w:t>,</w:t>
      </w:r>
      <w:r w:rsidRPr="00D175A2">
        <w:rPr>
          <w:rFonts w:ascii="Times New Roman" w:hAnsi="Times New Roman"/>
          <w:sz w:val="24"/>
          <w:szCs w:val="24"/>
        </w:rPr>
        <w:t xml:space="preserve"> as specified in Annex IV of the Agreement. </w:t>
      </w:r>
      <w:r w:rsidR="00FF3026" w:rsidRPr="00DD4AA1">
        <w:rPr>
          <w:rFonts w:ascii="Times New Roman" w:hAnsi="Times New Roman"/>
          <w:sz w:val="24"/>
          <w:szCs w:val="24"/>
        </w:rPr>
        <w:t>A</w:t>
      </w:r>
      <w:r w:rsidR="007A2854" w:rsidRPr="00DD4AA1">
        <w:rPr>
          <w:rFonts w:ascii="Times New Roman" w:hAnsi="Times New Roman"/>
          <w:sz w:val="24"/>
          <w:szCs w:val="24"/>
        </w:rPr>
        <w:t xml:space="preserve">ccompanying </w:t>
      </w:r>
      <w:r w:rsidR="00FF3026" w:rsidRPr="00DD4AA1">
        <w:rPr>
          <w:rFonts w:ascii="Times New Roman" w:hAnsi="Times New Roman"/>
          <w:sz w:val="24"/>
          <w:szCs w:val="24"/>
        </w:rPr>
        <w:t>persons</w:t>
      </w:r>
      <w:r w:rsidR="006D050B">
        <w:rPr>
          <w:rFonts w:ascii="Times New Roman" w:hAnsi="Times New Roman"/>
          <w:sz w:val="24"/>
          <w:szCs w:val="24"/>
        </w:rPr>
        <w:t xml:space="preserve">, </w:t>
      </w:r>
      <w:r w:rsidR="0039461B">
        <w:rPr>
          <w:rFonts w:ascii="Times New Roman" w:hAnsi="Times New Roman"/>
          <w:sz w:val="24"/>
          <w:szCs w:val="24"/>
        </w:rPr>
        <w:t xml:space="preserve">group </w:t>
      </w:r>
      <w:r w:rsidR="006D050B">
        <w:rPr>
          <w:rFonts w:ascii="Times New Roman" w:hAnsi="Times New Roman"/>
          <w:sz w:val="24"/>
          <w:szCs w:val="24"/>
        </w:rPr>
        <w:t>leaders, trainers, facilitators</w:t>
      </w:r>
      <w:r w:rsidR="0039461B" w:rsidRPr="00B6477A" w:rsidDel="00957B3C">
        <w:rPr>
          <w:rFonts w:ascii="Times New Roman" w:hAnsi="Times New Roman"/>
          <w:sz w:val="24"/>
          <w:szCs w:val="24"/>
        </w:rPr>
        <w:t xml:space="preserve"> </w:t>
      </w:r>
      <w:r w:rsidR="007A2854" w:rsidRPr="0075704F">
        <w:rPr>
          <w:rFonts w:ascii="Times New Roman" w:hAnsi="Times New Roman"/>
          <w:sz w:val="24"/>
          <w:szCs w:val="24"/>
        </w:rPr>
        <w:t xml:space="preserve">and persons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50D5E4B5" w:rsidR="0075704F" w:rsidRDefault="00B20DB0" w:rsidP="00B02CF8">
      <w:pPr>
        <w:pStyle w:val="Lijstalinea"/>
        <w:numPr>
          <w:ilvl w:val="0"/>
          <w:numId w:val="110"/>
        </w:numPr>
        <w:jc w:val="both"/>
        <w:rPr>
          <w:rFonts w:ascii="Times New Roman" w:hAnsi="Times New Roman"/>
          <w:sz w:val="24"/>
          <w:szCs w:val="24"/>
        </w:rPr>
      </w:pPr>
      <w:r w:rsidRPr="006D050B">
        <w:rPr>
          <w:rFonts w:ascii="Times New Roman" w:hAnsi="Times New Roman"/>
          <w:sz w:val="24"/>
          <w:szCs w:val="24"/>
        </w:rPr>
        <w:t>Triggering event: the event that conditions the entitlement to the grant is that the participant has actually undertaken the activity</w:t>
      </w:r>
      <w:r w:rsidR="006D050B">
        <w:rPr>
          <w:rFonts w:ascii="Times New Roman" w:hAnsi="Times New Roman"/>
          <w:sz w:val="24"/>
          <w:szCs w:val="24"/>
        </w:rPr>
        <w:t>.</w:t>
      </w:r>
    </w:p>
    <w:p w14:paraId="38B3C786" w14:textId="12F2801C" w:rsidR="006D050B" w:rsidRDefault="006D050B" w:rsidP="006D050B">
      <w:pPr>
        <w:pStyle w:val="Lijstalinea"/>
        <w:ind w:left="502"/>
        <w:jc w:val="both"/>
        <w:rPr>
          <w:rFonts w:ascii="Times New Roman" w:hAnsi="Times New Roman"/>
          <w:sz w:val="24"/>
          <w:szCs w:val="24"/>
        </w:rPr>
      </w:pPr>
    </w:p>
    <w:p w14:paraId="7C298065" w14:textId="77777777" w:rsidR="006D050B" w:rsidRPr="006D050B" w:rsidRDefault="006D050B" w:rsidP="006D050B">
      <w:pPr>
        <w:pStyle w:val="Lijstalinea"/>
        <w:ind w:left="502"/>
        <w:jc w:val="both"/>
        <w:rPr>
          <w:rFonts w:ascii="Times New Roman" w:hAnsi="Times New Roman"/>
          <w:sz w:val="24"/>
          <w:szCs w:val="24"/>
        </w:rPr>
      </w:pPr>
    </w:p>
    <w:p w14:paraId="3581299F" w14:textId="1EDB09FA" w:rsidR="00E50FB2" w:rsidRPr="006D050B" w:rsidRDefault="00B20DB0" w:rsidP="006D050B">
      <w:pPr>
        <w:pStyle w:val="Lijstalinea"/>
        <w:numPr>
          <w:ilvl w:val="0"/>
          <w:numId w:val="110"/>
        </w:numPr>
        <w:jc w:val="both"/>
        <w:rPr>
          <w:rFonts w:ascii="Times New Roman" w:hAnsi="Times New Roman"/>
          <w:sz w:val="24"/>
          <w:szCs w:val="24"/>
        </w:rPr>
      </w:pPr>
      <w:r>
        <w:rPr>
          <w:rFonts w:ascii="Times New Roman" w:hAnsi="Times New Roman"/>
          <w:sz w:val="24"/>
          <w:szCs w:val="24"/>
        </w:rPr>
        <w:t xml:space="preserve">Supporting documents: </w:t>
      </w:r>
      <w:r w:rsidR="006D050B">
        <w:rPr>
          <w:rFonts w:ascii="Times New Roman" w:hAnsi="Times New Roman"/>
          <w:sz w:val="24"/>
          <w:szCs w:val="24"/>
        </w:rPr>
        <w:t>p</w:t>
      </w:r>
      <w:r w:rsidR="004916AB" w:rsidRPr="006D050B">
        <w:rPr>
          <w:rFonts w:ascii="Times New Roman" w:eastAsia="Times New Roman" w:hAnsi="Times New Roman"/>
          <w:color w:val="000000"/>
          <w:sz w:val="24"/>
          <w:szCs w:val="24"/>
        </w:rPr>
        <w:t>roof of attendance of the activity in the form of a declaration signed by the participant and by the receiving organisation, specifying the name of the participant, the purpose of the activity, as well as its starting and end date</w:t>
      </w:r>
      <w:r w:rsidR="006D050B">
        <w:rPr>
          <w:rFonts w:ascii="Times New Roman" w:eastAsia="Times New Roman" w:hAnsi="Times New Roman"/>
          <w:color w:val="000000"/>
          <w:sz w:val="24"/>
          <w:szCs w:val="24"/>
        </w:rPr>
        <w:t>.</w:t>
      </w:r>
    </w:p>
    <w:p w14:paraId="541A80D4" w14:textId="77777777" w:rsidR="006D050B" w:rsidRPr="006D050B" w:rsidRDefault="006D050B" w:rsidP="006D050B">
      <w:pPr>
        <w:jc w:val="both"/>
        <w:rPr>
          <w:rFonts w:ascii="Times New Roman" w:hAnsi="Times New Roman"/>
          <w:sz w:val="24"/>
          <w:szCs w:val="24"/>
        </w:rPr>
      </w:pPr>
    </w:p>
    <w:p w14:paraId="4DA12A0F" w14:textId="72C82791" w:rsidR="00B20DB0" w:rsidDel="00CD2603" w:rsidRDefault="0039461B" w:rsidP="006D050B">
      <w:pPr>
        <w:pStyle w:val="Lijstalinea"/>
        <w:numPr>
          <w:ilvl w:val="0"/>
          <w:numId w:val="110"/>
        </w:numPr>
        <w:jc w:val="both"/>
        <w:rPr>
          <w:rFonts w:ascii="Times New Roman" w:hAnsi="Times New Roman"/>
          <w:sz w:val="24"/>
          <w:szCs w:val="24"/>
        </w:rPr>
      </w:pPr>
      <w:r w:rsidRPr="0077498C" w:rsidDel="0039461B">
        <w:rPr>
          <w:rFonts w:ascii="Times New Roman" w:hAnsi="Times New Roman"/>
          <w:sz w:val="24"/>
          <w:szCs w:val="24"/>
        </w:rPr>
        <w:t xml:space="preserve"> </w:t>
      </w:r>
      <w:r w:rsidR="00B20DB0" w:rsidDel="00CD2603">
        <w:rPr>
          <w:rFonts w:ascii="Times New Roman" w:hAnsi="Times New Roman"/>
          <w:sz w:val="24"/>
          <w:szCs w:val="24"/>
        </w:rPr>
        <w:t xml:space="preserve">Reporting: </w:t>
      </w:r>
    </w:p>
    <w:p w14:paraId="3095E8D7" w14:textId="77777777" w:rsidR="00ED73CD" w:rsidRPr="007E7CED" w:rsidRDefault="00ED73CD" w:rsidP="007E7CED">
      <w:pPr>
        <w:pStyle w:val="Lijstalinea"/>
        <w:ind w:left="1440"/>
        <w:jc w:val="both"/>
        <w:rPr>
          <w:rFonts w:ascii="Times New Roman" w:hAnsi="Times New Roman"/>
          <w:b/>
          <w:bCs/>
          <w:sz w:val="24"/>
          <w:szCs w:val="24"/>
        </w:rPr>
      </w:pPr>
    </w:p>
    <w:p w14:paraId="6A3980DE" w14:textId="7C96B7B3" w:rsidR="0039461B" w:rsidRPr="00D878F1" w:rsidRDefault="0039461B" w:rsidP="00087269">
      <w:pPr>
        <w:tabs>
          <w:tab w:val="left" w:pos="851"/>
        </w:tabs>
        <w:suppressAutoHyphens w:val="0"/>
        <w:spacing w:line="240" w:lineRule="auto"/>
        <w:ind w:left="720"/>
        <w:jc w:val="both"/>
        <w:rPr>
          <w:rFonts w:ascii="Times New Roman" w:hAnsi="Times New Roman"/>
          <w:sz w:val="24"/>
          <w:szCs w:val="24"/>
        </w:rPr>
      </w:pPr>
      <w:r w:rsidRPr="004E586D">
        <w:rPr>
          <w:rFonts w:ascii="Times New Roman" w:hAnsi="Times New Roman"/>
          <w:sz w:val="24"/>
          <w:szCs w:val="24"/>
        </w:rPr>
        <w:t xml:space="preserve">The coordinator </w:t>
      </w:r>
      <w:r>
        <w:rPr>
          <w:rFonts w:ascii="Times New Roman" w:hAnsi="Times New Roman"/>
          <w:sz w:val="24"/>
          <w:szCs w:val="24"/>
        </w:rPr>
        <w:t>must</w:t>
      </w:r>
      <w:r w:rsidR="007E41D2">
        <w:rPr>
          <w:rFonts w:ascii="Times New Roman" w:hAnsi="Times New Roman"/>
          <w:sz w:val="24"/>
          <w:szCs w:val="24"/>
        </w:rPr>
        <w:t xml:space="preserve"> report</w:t>
      </w:r>
      <w:r>
        <w:rPr>
          <w:rFonts w:ascii="Times New Roman" w:hAnsi="Times New Roman"/>
          <w:sz w:val="24"/>
          <w:szCs w:val="24"/>
        </w:rPr>
        <w:t xml:space="preserve"> on all mobilities realised under the project, including the ones from the host country.</w:t>
      </w:r>
    </w:p>
    <w:p w14:paraId="3B11A216" w14:textId="6B481093" w:rsidR="0039461B" w:rsidRPr="00087269" w:rsidRDefault="0039461B" w:rsidP="00087269">
      <w:pPr>
        <w:numPr>
          <w:ilvl w:val="0"/>
          <w:numId w:val="70"/>
        </w:numPr>
        <w:jc w:val="both"/>
        <w:rPr>
          <w:rFonts w:ascii="Times New Roman" w:hAnsi="Times New Roman"/>
          <w:sz w:val="24"/>
          <w:szCs w:val="24"/>
        </w:rPr>
      </w:pPr>
      <w:r w:rsidRPr="006D050B">
        <w:rPr>
          <w:rFonts w:ascii="Times New Roman" w:hAnsi="Times New Roman"/>
          <w:sz w:val="24"/>
          <w:szCs w:val="24"/>
        </w:rPr>
        <w:lastRenderedPageBreak/>
        <w:t>For Youth Workers:</w:t>
      </w:r>
      <w:r w:rsidRPr="00087269">
        <w:rPr>
          <w:rFonts w:ascii="Times New Roman" w:hAnsi="Times New Roman"/>
          <w:sz w:val="24"/>
          <w:szCs w:val="24"/>
        </w:rPr>
        <w:t xml:space="preserve"> Participants in the activities should report on the activities via an on-line questionnaire providing their feedback on factual and qualitative elements of the activity period, as well as of </w:t>
      </w:r>
      <w:r w:rsidR="006D050B">
        <w:rPr>
          <w:rFonts w:ascii="Times New Roman" w:hAnsi="Times New Roman"/>
          <w:sz w:val="24"/>
          <w:szCs w:val="24"/>
        </w:rPr>
        <w:t>its preparation and follow-up.</w:t>
      </w:r>
    </w:p>
    <w:p w14:paraId="4EB451E1" w14:textId="5DE275B6" w:rsidR="0039461B" w:rsidRPr="004E59CC" w:rsidRDefault="0039461B" w:rsidP="00087269">
      <w:pPr>
        <w:numPr>
          <w:ilvl w:val="0"/>
          <w:numId w:val="70"/>
        </w:numPr>
        <w:jc w:val="both"/>
        <w:rPr>
          <w:rFonts w:ascii="Times New Roman" w:hAnsi="Times New Roman"/>
          <w:sz w:val="24"/>
          <w:szCs w:val="24"/>
        </w:rPr>
      </w:pPr>
      <w:r w:rsidRPr="006D050B">
        <w:rPr>
          <w:rFonts w:ascii="Times New Roman" w:hAnsi="Times New Roman"/>
          <w:sz w:val="24"/>
          <w:szCs w:val="24"/>
        </w:rPr>
        <w:t>For Youth Exchanges:</w:t>
      </w:r>
      <w:r>
        <w:rPr>
          <w:rFonts w:ascii="Times New Roman" w:hAnsi="Times New Roman"/>
          <w:sz w:val="24"/>
          <w:szCs w:val="24"/>
        </w:rPr>
        <w:t xml:space="preserve"> </w:t>
      </w:r>
      <w:r w:rsidRPr="00D878F1">
        <w:rPr>
          <w:rFonts w:ascii="Times New Roman" w:hAnsi="Times New Roman"/>
          <w:sz w:val="24"/>
          <w:szCs w:val="24"/>
        </w:rPr>
        <w:t xml:space="preserve">Group leaders in the activities </w:t>
      </w:r>
      <w:r>
        <w:rPr>
          <w:rFonts w:ascii="Times New Roman" w:hAnsi="Times New Roman"/>
          <w:sz w:val="24"/>
          <w:szCs w:val="24"/>
        </w:rPr>
        <w:t>should</w:t>
      </w:r>
      <w:r w:rsidRPr="00D878F1">
        <w:rPr>
          <w:rFonts w:ascii="Times New Roman" w:hAnsi="Times New Roman"/>
          <w:sz w:val="24"/>
          <w:szCs w:val="24"/>
        </w:rPr>
        <w:t xml:space="preserve"> report on the activities via an on-line questionnaire providing their feedback on factual and qualitative elements of the activity period, as well as of its preparation and follow-up.</w:t>
      </w:r>
    </w:p>
    <w:p w14:paraId="22F9AD3C" w14:textId="77777777" w:rsidR="00CD2603" w:rsidRPr="00087269" w:rsidRDefault="00CD2603" w:rsidP="00087269">
      <w:pPr>
        <w:tabs>
          <w:tab w:val="left" w:pos="851"/>
        </w:tabs>
        <w:suppressAutoHyphens w:val="0"/>
        <w:spacing w:line="240" w:lineRule="auto"/>
        <w:ind w:left="720"/>
        <w:jc w:val="both"/>
        <w:rPr>
          <w:rFonts w:ascii="Times New Roman" w:hAnsi="Times New Roman"/>
          <w:sz w:val="24"/>
          <w:szCs w:val="24"/>
        </w:rPr>
      </w:pPr>
    </w:p>
    <w:p w14:paraId="1D4A2622" w14:textId="0DC988EF"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for organisations</w:t>
      </w:r>
    </w:p>
    <w:p w14:paraId="348D56AD" w14:textId="0DE5312D" w:rsidR="009B5BDF" w:rsidRPr="00CB0EF3" w:rsidRDefault="009B5BDF" w:rsidP="00CB0EF3">
      <w:pPr>
        <w:pStyle w:val="Lijstalinea"/>
        <w:numPr>
          <w:ilvl w:val="0"/>
          <w:numId w:val="114"/>
        </w:numPr>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total number of participants with </w:t>
      </w:r>
      <w:r w:rsidRPr="00CB0EF3">
        <w:rPr>
          <w:rFonts w:ascii="Times New Roman" w:hAnsi="Times New Roman"/>
          <w:sz w:val="24"/>
          <w:szCs w:val="24"/>
        </w:rPr>
        <w:t>in mobility activities by the unit contribution applicable</w:t>
      </w:r>
      <w:r w:rsidR="00C3533A" w:rsidRPr="00CB0EF3">
        <w:rPr>
          <w:rFonts w:ascii="Times New Roman" w:hAnsi="Times New Roman"/>
          <w:sz w:val="24"/>
          <w:szCs w:val="24"/>
        </w:rPr>
        <w:t>,</w:t>
      </w:r>
      <w:r w:rsidRPr="00CB0EF3">
        <w:rPr>
          <w:rFonts w:ascii="Times New Roman" w:hAnsi="Times New Roman"/>
          <w:sz w:val="24"/>
          <w:szCs w:val="24"/>
        </w:rPr>
        <w:t xml:space="preserve"> as specified in Annex IV of the Agreement.</w:t>
      </w:r>
      <w:r w:rsidR="00CB0EF3" w:rsidRPr="00CB0EF3">
        <w:rPr>
          <w:rFonts w:ascii="Times New Roman" w:hAnsi="Times New Roman"/>
          <w:sz w:val="24"/>
          <w:szCs w:val="24"/>
        </w:rPr>
        <w:t xml:space="preserve"> </w:t>
      </w:r>
      <w:r w:rsidRPr="00CB0EF3">
        <w:rPr>
          <w:rFonts w:ascii="Times New Roman" w:hAnsi="Times New Roman"/>
          <w:sz w:val="24"/>
          <w:szCs w:val="24"/>
        </w:rPr>
        <w:t xml:space="preserve"> </w:t>
      </w:r>
    </w:p>
    <w:p w14:paraId="7AFD983F" w14:textId="77777777" w:rsidR="00334028" w:rsidRDefault="00334028" w:rsidP="00334028">
      <w:pPr>
        <w:spacing w:after="0" w:line="100" w:lineRule="atLeast"/>
        <w:jc w:val="both"/>
        <w:rPr>
          <w:rFonts w:ascii="Times New Roman" w:hAnsi="Times New Roman"/>
          <w:sz w:val="24"/>
          <w:szCs w:val="24"/>
        </w:rPr>
      </w:pPr>
    </w:p>
    <w:p w14:paraId="34C27516" w14:textId="17D0A0E7" w:rsidR="00334028" w:rsidRPr="00087269" w:rsidRDefault="00334028" w:rsidP="00087269">
      <w:pPr>
        <w:pStyle w:val="Lijstalinea"/>
        <w:numPr>
          <w:ilvl w:val="0"/>
          <w:numId w:val="114"/>
        </w:numPr>
        <w:jc w:val="both"/>
        <w:rPr>
          <w:rFonts w:ascii="Times New Roman" w:hAnsi="Times New Roman"/>
          <w:sz w:val="24"/>
          <w:szCs w:val="24"/>
          <w:shd w:val="clear" w:color="auto" w:fill="00FFFF"/>
        </w:rPr>
      </w:pPr>
      <w:r w:rsidRPr="00087269">
        <w:rPr>
          <w:rFonts w:ascii="Times New Roman" w:hAnsi="Times New Roman"/>
          <w:sz w:val="24"/>
          <w:szCs w:val="24"/>
        </w:rPr>
        <w:t>Triggering event: the event that conditions the entitlement to the grant is that the participant has actually undertaken the activity</w:t>
      </w:r>
      <w:r w:rsidR="005D6D04">
        <w:rPr>
          <w:rFonts w:ascii="Times New Roman" w:hAnsi="Times New Roman"/>
          <w:sz w:val="24"/>
          <w:szCs w:val="24"/>
        </w:rPr>
        <w:t>.</w:t>
      </w:r>
    </w:p>
    <w:p w14:paraId="50F17AAE" w14:textId="77777777" w:rsidR="000A4C04" w:rsidRPr="00087269" w:rsidRDefault="000A4C04" w:rsidP="00087269">
      <w:pPr>
        <w:pStyle w:val="Lijstalinea"/>
        <w:rPr>
          <w:rFonts w:ascii="Times New Roman" w:hAnsi="Times New Roman"/>
          <w:sz w:val="24"/>
          <w:szCs w:val="24"/>
          <w:shd w:val="clear" w:color="auto" w:fill="00FFFF"/>
        </w:rPr>
      </w:pPr>
    </w:p>
    <w:p w14:paraId="6A6D523D" w14:textId="44FD91F6" w:rsidR="000A4C04" w:rsidRPr="007E7CED" w:rsidRDefault="00334028" w:rsidP="00087269">
      <w:pPr>
        <w:pStyle w:val="Lijstalinea"/>
        <w:numPr>
          <w:ilvl w:val="0"/>
          <w:numId w:val="114"/>
        </w:numPr>
        <w:jc w:val="both"/>
        <w:rPr>
          <w:rFonts w:ascii="Times New Roman" w:hAnsi="Times New Roman"/>
          <w:sz w:val="24"/>
          <w:szCs w:val="24"/>
        </w:rPr>
      </w:pPr>
      <w:r w:rsidRPr="00087269">
        <w:rPr>
          <w:rFonts w:ascii="Times New Roman" w:hAnsi="Times New Roman"/>
          <w:sz w:val="24"/>
          <w:szCs w:val="24"/>
        </w:rPr>
        <w:t>Supporting documents:</w:t>
      </w:r>
      <w:r w:rsidR="00426BB7">
        <w:rPr>
          <w:rFonts w:ascii="Times New Roman" w:hAnsi="Times New Roman"/>
          <w:sz w:val="24"/>
          <w:szCs w:val="24"/>
        </w:rPr>
        <w:t xml:space="preserve"> </w:t>
      </w:r>
      <w:r w:rsidR="00E005CD">
        <w:rPr>
          <w:rFonts w:ascii="Times New Roman" w:eastAsia="Times New Roman" w:hAnsi="Times New Roman"/>
          <w:color w:val="000000"/>
          <w:sz w:val="24"/>
          <w:szCs w:val="24"/>
        </w:rPr>
        <w:t>p</w:t>
      </w:r>
      <w:r w:rsidRPr="00087269">
        <w:rPr>
          <w:rFonts w:ascii="Times New Roman" w:eastAsia="Times New Roman" w:hAnsi="Times New Roman"/>
          <w:color w:val="000000"/>
          <w:sz w:val="24"/>
          <w:szCs w:val="24"/>
        </w:rPr>
        <w:t>roof of attendance of the activity in the form of a</w:t>
      </w:r>
      <w:r w:rsidR="00051401">
        <w:rPr>
          <w:rFonts w:ascii="Times New Roman" w:eastAsia="Times New Roman" w:hAnsi="Times New Roman"/>
          <w:color w:val="000000"/>
          <w:sz w:val="24"/>
          <w:szCs w:val="24"/>
        </w:rPr>
        <w:t xml:space="preserve"> </w:t>
      </w:r>
      <w:r w:rsidRPr="00087269">
        <w:rPr>
          <w:rFonts w:ascii="Times New Roman" w:eastAsia="Times New Roman" w:hAnsi="Times New Roman"/>
          <w:color w:val="000000"/>
          <w:sz w:val="24"/>
          <w:szCs w:val="24"/>
        </w:rPr>
        <w:t>declaration signed by the receiving organisation specifying the name of the participant, the purpose of the activity, as well as its starting and end</w:t>
      </w:r>
      <w:r w:rsidRPr="00087269" w:rsidDel="004B2A0A">
        <w:rPr>
          <w:rFonts w:ascii="Times New Roman" w:eastAsia="Times New Roman" w:hAnsi="Times New Roman"/>
          <w:color w:val="000000"/>
          <w:sz w:val="24"/>
          <w:szCs w:val="24"/>
        </w:rPr>
        <w:t xml:space="preserve"> </w:t>
      </w:r>
      <w:r w:rsidR="001E1F91">
        <w:rPr>
          <w:rFonts w:ascii="Times New Roman" w:eastAsia="Times New Roman" w:hAnsi="Times New Roman"/>
          <w:color w:val="000000"/>
          <w:sz w:val="24"/>
          <w:szCs w:val="24"/>
        </w:rPr>
        <w:t>date</w:t>
      </w:r>
      <w:r w:rsidRPr="00087269">
        <w:rPr>
          <w:rFonts w:ascii="Times New Roman" w:hAnsi="Times New Roman"/>
          <w:color w:val="000000"/>
          <w:sz w:val="24"/>
          <w:szCs w:val="24"/>
        </w:rPr>
        <w:t>.</w:t>
      </w:r>
    </w:p>
    <w:p w14:paraId="0935AC87" w14:textId="6B747667" w:rsidR="002E6ED6" w:rsidRPr="006D050B" w:rsidRDefault="002E6ED6" w:rsidP="006D050B">
      <w:pPr>
        <w:spacing w:after="0" w:line="100" w:lineRule="atLeast"/>
        <w:ind w:left="567"/>
        <w:jc w:val="both"/>
        <w:rPr>
          <w:rFonts w:ascii="Times New Roman" w:hAnsi="Times New Roman"/>
          <w:color w:val="000000" w:themeColor="text1"/>
          <w:sz w:val="24"/>
          <w:szCs w:val="24"/>
        </w:rPr>
      </w:pPr>
    </w:p>
    <w:p w14:paraId="6889C85B" w14:textId="147C719D" w:rsidR="002E6ED6" w:rsidRPr="007E7CED" w:rsidRDefault="002E6ED6" w:rsidP="006D050B">
      <w:pPr>
        <w:ind w:left="927"/>
        <w:jc w:val="both"/>
        <w:rPr>
          <w:rFonts w:ascii="Times New Roman" w:hAnsi="Times New Roman"/>
          <w:sz w:val="24"/>
          <w:szCs w:val="24"/>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5805961E" w14:textId="77777777" w:rsidR="00F97569" w:rsidRDefault="00F97569">
      <w:pPr>
        <w:jc w:val="both"/>
        <w:rPr>
          <w:rFonts w:ascii="Times New Roman" w:hAnsi="Times New Roman"/>
          <w:sz w:val="24"/>
          <w:szCs w:val="24"/>
          <w:shd w:val="clear" w:color="auto" w:fill="00FFFF"/>
        </w:rPr>
      </w:pPr>
    </w:p>
    <w:p w14:paraId="71A98132" w14:textId="77777777" w:rsidR="00F97569" w:rsidRDefault="00F97569">
      <w:pPr>
        <w:jc w:val="both"/>
        <w:rPr>
          <w:rFonts w:ascii="Times New Roman" w:hAnsi="Times New Roman"/>
          <w:sz w:val="24"/>
          <w:szCs w:val="24"/>
          <w:shd w:val="clear" w:color="auto" w:fill="00FFFF"/>
        </w:rPr>
      </w:pPr>
    </w:p>
    <w:p w14:paraId="1E7AD030" w14:textId="77777777" w:rsidR="00F97569" w:rsidRDefault="00F97569">
      <w:pPr>
        <w:jc w:val="both"/>
        <w:rPr>
          <w:rFonts w:ascii="Times New Roman" w:hAnsi="Times New Roman"/>
          <w:sz w:val="24"/>
          <w:szCs w:val="24"/>
          <w:shd w:val="clear" w:color="auto" w:fill="00FFFF"/>
        </w:rPr>
      </w:pPr>
    </w:p>
    <w:p w14:paraId="037465B6" w14:textId="0D5685A7" w:rsidR="00FA5F2D" w:rsidRDefault="00FA5F2D" w:rsidP="00087269">
      <w:pPr>
        <w:spacing w:after="0" w:line="100" w:lineRule="atLeast"/>
        <w:jc w:val="both"/>
        <w:rPr>
          <w:rFonts w:ascii="Times New Roman" w:hAnsi="Times New Roman"/>
          <w:sz w:val="24"/>
          <w:szCs w:val="24"/>
          <w:highlight w:val="cyan"/>
          <w:shd w:val="clear" w:color="auto" w:fill="C0C0C0"/>
        </w:rPr>
      </w:pPr>
    </w:p>
    <w:p w14:paraId="2AAA7493" w14:textId="751C95BA" w:rsidR="00FA5F2D" w:rsidRPr="00FA1944" w:rsidRDefault="00F97569"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E</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FA5F2D">
      <w:pPr>
        <w:pStyle w:val="Lijstalinea"/>
        <w:numPr>
          <w:ilvl w:val="0"/>
          <w:numId w:val="119"/>
        </w:numPr>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FA5F2D">
      <w:pPr>
        <w:spacing w:after="0" w:line="100" w:lineRule="atLeast"/>
        <w:jc w:val="both"/>
        <w:rPr>
          <w:rFonts w:ascii="Times New Roman" w:hAnsi="Times New Roman"/>
          <w:sz w:val="24"/>
          <w:szCs w:val="24"/>
        </w:rPr>
      </w:pPr>
    </w:p>
    <w:p w14:paraId="4D983C31" w14:textId="7BFB63CF" w:rsidR="00FA5F2D" w:rsidRPr="00FA1944" w:rsidRDefault="00FA5F2D" w:rsidP="00FA5F2D">
      <w:pPr>
        <w:pStyle w:val="Lijstalinea"/>
        <w:numPr>
          <w:ilvl w:val="0"/>
          <w:numId w:val="119"/>
        </w:numPr>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actually undertaken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FA5F2D">
      <w:pPr>
        <w:pStyle w:val="Lijstalinea"/>
        <w:rPr>
          <w:rFonts w:ascii="Times New Roman" w:hAnsi="Times New Roman"/>
          <w:sz w:val="24"/>
          <w:szCs w:val="24"/>
          <w:shd w:val="clear" w:color="auto" w:fill="00FFFF"/>
        </w:rPr>
      </w:pPr>
    </w:p>
    <w:p w14:paraId="08BEE9C9" w14:textId="729CDE20" w:rsidR="00FA5F2D" w:rsidRPr="00FA1944" w:rsidRDefault="00FA5F2D" w:rsidP="00FA5F2D">
      <w:pPr>
        <w:pStyle w:val="Lijstalinea"/>
        <w:numPr>
          <w:ilvl w:val="0"/>
          <w:numId w:val="119"/>
        </w:numPr>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r>
        <w:rPr>
          <w:rFonts w:ascii="Times New Roman" w:hAnsi="Times New Roman"/>
          <w:color w:val="000000"/>
          <w:sz w:val="24"/>
          <w:szCs w:val="24"/>
        </w:rPr>
        <w:t>]</w:t>
      </w:r>
    </w:p>
    <w:p w14:paraId="24FE6848" w14:textId="77777777" w:rsidR="00FA5F2D" w:rsidRDefault="00FA5F2D" w:rsidP="00087269">
      <w:pPr>
        <w:spacing w:after="0" w:line="100" w:lineRule="atLeast"/>
        <w:jc w:val="both"/>
        <w:rPr>
          <w:rFonts w:ascii="Times New Roman" w:hAnsi="Times New Roman"/>
          <w:sz w:val="24"/>
          <w:szCs w:val="24"/>
          <w:highlight w:val="cyan"/>
          <w:shd w:val="clear" w:color="auto" w:fill="C0C0C0"/>
        </w:rPr>
      </w:pPr>
    </w:p>
    <w:p w14:paraId="6F425F3D" w14:textId="77777777" w:rsidR="0062612F" w:rsidRPr="007E7CED" w:rsidRDefault="0062612F">
      <w:pPr>
        <w:pStyle w:val="Kop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2BB02192" w14:textId="299CF858" w:rsidR="000D6FDD" w:rsidRPr="00F97569" w:rsidRDefault="008C2637" w:rsidP="00F975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lastRenderedPageBreak/>
        <w:t xml:space="preserve">(b) </w:t>
      </w:r>
      <w:r>
        <w:rPr>
          <w:rFonts w:ascii="Times New Roman" w:hAnsi="Times New Roman"/>
          <w:sz w:val="24"/>
          <w:szCs w:val="24"/>
        </w:rPr>
        <w:tab/>
      </w:r>
      <w:r w:rsidR="003625B0" w:rsidRPr="001A6C54">
        <w:rPr>
          <w:rFonts w:ascii="Times New Roman" w:hAnsi="Times New Roman"/>
          <w:sz w:val="24"/>
          <w:szCs w:val="24"/>
        </w:rPr>
        <w:t xml:space="preserve">Eligible costs: costs directly related to participants with </w:t>
      </w:r>
      <w:r w:rsidR="0046161A">
        <w:rPr>
          <w:rFonts w:ascii="Times New Roman" w:hAnsi="Times New Roman"/>
          <w:sz w:val="24"/>
          <w:szCs w:val="24"/>
        </w:rPr>
        <w:t>fewer opportunities</w:t>
      </w:r>
      <w:r w:rsidR="003625B0" w:rsidRPr="001A6C54">
        <w:rPr>
          <w:rFonts w:ascii="Times New Roman" w:hAnsi="Times New Roman"/>
          <w:sz w:val="24"/>
          <w:szCs w:val="24"/>
        </w:rPr>
        <w:t xml:space="preserve"> and </w:t>
      </w:r>
      <w:r w:rsidR="0046161A">
        <w:rPr>
          <w:rFonts w:ascii="Times New Roman" w:hAnsi="Times New Roman"/>
          <w:sz w:val="24"/>
          <w:szCs w:val="24"/>
        </w:rPr>
        <w:t xml:space="preserve">their </w:t>
      </w:r>
      <w:r w:rsidR="003625B0" w:rsidRPr="001A6C54">
        <w:rPr>
          <w:rFonts w:ascii="Times New Roman" w:hAnsi="Times New Roman"/>
          <w:sz w:val="24"/>
          <w:szCs w:val="24"/>
        </w:rPr>
        <w:t>accompanying persons</w:t>
      </w:r>
      <w:r w:rsidR="0046161A" w:rsidRPr="0046161A">
        <w:t xml:space="preserve"> </w:t>
      </w:r>
      <w:r w:rsidR="003625B0" w:rsidRPr="000E5AA3">
        <w:rPr>
          <w:rFonts w:ascii="Times New Roman" w:hAnsi="Times New Roman"/>
          <w:sz w:val="24"/>
          <w:szCs w:val="24"/>
        </w:rPr>
        <w:t>that are additional to costs supported by a unit contribution as specified in Section I of this Annex.</w:t>
      </w:r>
      <w:r w:rsidR="00753DCF">
        <w:rPr>
          <w:rFonts w:ascii="Times New Roman" w:hAnsi="Times New Roman"/>
          <w:sz w:val="24"/>
          <w:szCs w:val="24"/>
        </w:rPr>
        <w:t xml:space="preserve"> C</w:t>
      </w:r>
      <w:r w:rsidR="00753DCF" w:rsidRPr="0046161A">
        <w:rPr>
          <w:rFonts w:ascii="Times New Roman" w:hAnsi="Times New Roman"/>
          <w:sz w:val="24"/>
          <w:szCs w:val="24"/>
        </w:rPr>
        <w:t xml:space="preserve">osts related </w:t>
      </w:r>
      <w:r w:rsidR="00753DCF">
        <w:rPr>
          <w:rFonts w:ascii="Times New Roman" w:hAnsi="Times New Roman"/>
          <w:sz w:val="24"/>
          <w:szCs w:val="24"/>
        </w:rPr>
        <w:t>to travel and subsistence may be requested under this budget category if a grant for the same</w:t>
      </w:r>
      <w:r w:rsidR="00753DCF" w:rsidRPr="0046161A">
        <w:rPr>
          <w:rFonts w:ascii="Times New Roman" w:hAnsi="Times New Roman"/>
          <w:sz w:val="24"/>
          <w:szCs w:val="24"/>
        </w:rPr>
        <w:t xml:space="preserve"> </w:t>
      </w:r>
      <w:r w:rsidR="00753DCF">
        <w:rPr>
          <w:rFonts w:ascii="Times New Roman" w:hAnsi="Times New Roman"/>
          <w:sz w:val="24"/>
          <w:szCs w:val="24"/>
        </w:rPr>
        <w:t xml:space="preserve">participants has not been requested through </w:t>
      </w:r>
      <w:r w:rsidR="00E11E41">
        <w:rPr>
          <w:rFonts w:ascii="Times New Roman" w:hAnsi="Times New Roman"/>
          <w:sz w:val="24"/>
          <w:szCs w:val="24"/>
        </w:rPr>
        <w:t>budget categories Travel and Individual support</w:t>
      </w:r>
      <w:r w:rsidR="00753DCF">
        <w:rPr>
          <w:rFonts w:ascii="Times New Roman" w:hAnsi="Times New Roman"/>
          <w:sz w:val="24"/>
          <w:szCs w:val="24"/>
        </w:rPr>
        <w:t>.</w:t>
      </w:r>
    </w:p>
    <w:p w14:paraId="5B22FFC3" w14:textId="6F699B7B" w:rsidR="00A72817" w:rsidRPr="001A6C54" w:rsidRDefault="002575FF" w:rsidP="008C2637">
      <w:pPr>
        <w:pStyle w:val="Lijstalinea"/>
        <w:tabs>
          <w:tab w:val="left" w:pos="851"/>
        </w:tabs>
        <w:ind w:left="851"/>
        <w:jc w:val="both"/>
        <w:rPr>
          <w:rFonts w:ascii="Times New Roman" w:eastAsia="Calibri" w:hAnsi="Times New Roman" w:cs="Times New Roman"/>
          <w:sz w:val="24"/>
          <w:szCs w:val="24"/>
        </w:rPr>
      </w:pPr>
      <w:r w:rsidRPr="00953421">
        <w:rPr>
          <w:rFonts w:ascii="Times New Roman" w:hAnsi="Times New Roman"/>
          <w:sz w:val="24"/>
          <w:szCs w:val="24"/>
        </w:rPr>
        <w:t xml:space="preserve">Funds for </w:t>
      </w:r>
      <w:r w:rsidR="0046161A">
        <w:rPr>
          <w:rFonts w:ascii="Times New Roman" w:hAnsi="Times New Roman"/>
          <w:sz w:val="24"/>
          <w:szCs w:val="24"/>
        </w:rPr>
        <w:t>inclusion</w:t>
      </w:r>
      <w:r w:rsidRPr="00953421">
        <w:rPr>
          <w:rFonts w:ascii="Times New Roman" w:hAnsi="Times New Roman"/>
          <w:sz w:val="24"/>
          <w:szCs w:val="24"/>
        </w:rPr>
        <w:t xml:space="preserve"> support</w:t>
      </w:r>
      <w:r w:rsidR="0046161A">
        <w:rPr>
          <w:rFonts w:ascii="Times New Roman" w:hAnsi="Times New Roman"/>
          <w:sz w:val="24"/>
          <w:szCs w:val="24"/>
        </w:rPr>
        <w:t xml:space="preserve"> for participants</w:t>
      </w:r>
      <w:r w:rsidRPr="00953421">
        <w:rPr>
          <w:rFonts w:ascii="Times New Roman" w:hAnsi="Times New Roman"/>
          <w:sz w:val="24"/>
          <w:szCs w:val="24"/>
        </w:rPr>
        <w:t>, once the participants have been selected, may be made available in two ways. The beneficiary may either submit a funding request to the NA or do a budget transfer accor</w:t>
      </w:r>
      <w:r w:rsidRPr="008F615B">
        <w:rPr>
          <w:rFonts w:ascii="Times New Roman" w:hAnsi="Times New Roman"/>
          <w:sz w:val="24"/>
          <w:szCs w:val="24"/>
        </w:rPr>
        <w:t>ding to article I.</w:t>
      </w:r>
      <w:r w:rsidR="000B55F7">
        <w:rPr>
          <w:rFonts w:ascii="Times New Roman" w:hAnsi="Times New Roman"/>
          <w:sz w:val="24"/>
          <w:szCs w:val="24"/>
        </w:rPr>
        <w:t>18</w:t>
      </w:r>
      <w:r w:rsidRPr="008F615B">
        <w:rPr>
          <w:rFonts w:ascii="Times New Roman" w:hAnsi="Times New Roman"/>
          <w:sz w:val="24"/>
          <w:szCs w:val="24"/>
        </w:rPr>
        <w:t>.]</w:t>
      </w:r>
    </w:p>
    <w:p w14:paraId="68BAD1B3" w14:textId="77777777" w:rsidR="00A72817" w:rsidRPr="00A91FE9" w:rsidRDefault="00A72817" w:rsidP="008C2637">
      <w:pPr>
        <w:pStyle w:val="Lijstalinea"/>
        <w:tabs>
          <w:tab w:val="left" w:pos="851"/>
        </w:tabs>
        <w:ind w:left="851" w:hanging="491"/>
        <w:jc w:val="both"/>
        <w:rPr>
          <w:rFonts w:ascii="Times New Roman" w:hAnsi="Times New Roman"/>
          <w:sz w:val="24"/>
          <w:szCs w:val="24"/>
        </w:rPr>
      </w:pPr>
    </w:p>
    <w:p w14:paraId="18C11761" w14:textId="08516FAA" w:rsidR="004B15F4" w:rsidRDefault="008C2637"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and the date of the invoice.</w:t>
      </w:r>
    </w:p>
    <w:p w14:paraId="4B9647E8" w14:textId="73746DF1" w:rsidR="00B20DB0" w:rsidRPr="00087269" w:rsidRDefault="004B15F4"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0594AD3A" w:rsidR="00B20DB0" w:rsidRDefault="00B20DB0" w:rsidP="00F97569">
      <w:pPr>
        <w:spacing w:line="100" w:lineRule="atLeast"/>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3EF562E0" w:rsidR="00B20DB0" w:rsidRPr="001B188D" w:rsidRDefault="00B20DB0" w:rsidP="00087269">
      <w:pPr>
        <w:numPr>
          <w:ilvl w:val="0"/>
          <w:numId w:val="22"/>
        </w:numPr>
        <w:spacing w:line="100" w:lineRule="atLeast"/>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AB6359">
        <w:rPr>
          <w:rFonts w:ascii="Times New Roman" w:hAnsi="Times New Roman"/>
          <w:sz w:val="24"/>
          <w:szCs w:val="24"/>
        </w:rPr>
        <w:t>,</w:t>
      </w:r>
      <w:r w:rsidR="00F97569">
        <w:rPr>
          <w:rFonts w:ascii="Times New Roman" w:hAnsi="Times New Roman"/>
          <w:sz w:val="24"/>
          <w:szCs w:val="24"/>
        </w:rPr>
        <w:t xml:space="preserve"> </w:t>
      </w:r>
      <w:r w:rsidR="00AB6359">
        <w:rPr>
          <w:rFonts w:ascii="Times New Roman" w:hAnsi="Times New Roman"/>
          <w:sz w:val="24"/>
          <w:szCs w:val="24"/>
        </w:rPr>
        <w:t xml:space="preserve">with the exception of the cost </w:t>
      </w:r>
      <w:r w:rsidR="00417D8C">
        <w:rPr>
          <w:rFonts w:ascii="Times New Roman" w:hAnsi="Times New Roman"/>
          <w:sz w:val="24"/>
          <w:szCs w:val="24"/>
        </w:rPr>
        <w:t xml:space="preserve"> </w:t>
      </w:r>
      <w:r w:rsidR="00AB6359">
        <w:rPr>
          <w:rFonts w:ascii="Times New Roman" w:hAnsi="Times New Roman"/>
          <w:sz w:val="24"/>
          <w:szCs w:val="24"/>
        </w:rPr>
        <w:t>related to visa, residence permits and vaccinations and medical certifications, which shall be reimburse</w:t>
      </w:r>
      <w:r w:rsidR="00F97569">
        <w:rPr>
          <w:rFonts w:ascii="Times New Roman" w:hAnsi="Times New Roman"/>
          <w:sz w:val="24"/>
          <w:szCs w:val="24"/>
        </w:rPr>
        <w:t>d at 100%.</w:t>
      </w:r>
    </w:p>
    <w:p w14:paraId="367A864F" w14:textId="77777777" w:rsidR="00B20DB0" w:rsidRPr="001B188D" w:rsidRDefault="00B20DB0" w:rsidP="00087269">
      <w:pPr>
        <w:numPr>
          <w:ilvl w:val="0"/>
          <w:numId w:val="22"/>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87269">
      <w:pPr>
        <w:pStyle w:val="Lijstalinea"/>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jstalinea"/>
        <w:ind w:left="1134"/>
        <w:jc w:val="both"/>
        <w:rPr>
          <w:rFonts w:ascii="Times New Roman" w:hAnsi="Times New Roman"/>
          <w:sz w:val="24"/>
          <w:szCs w:val="24"/>
        </w:rPr>
      </w:pPr>
    </w:p>
    <w:p w14:paraId="4F69CFA5" w14:textId="27D4820E" w:rsidR="00B20DB0" w:rsidRPr="009F56A7" w:rsidRDefault="00B20DB0" w:rsidP="00087269">
      <w:pPr>
        <w:pStyle w:val="Lijstalinea"/>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 xml:space="preserve">the </w:t>
      </w:r>
      <w:r w:rsidR="008C197E">
        <w:rPr>
          <w:rFonts w:ascii="Times New Roman" w:eastAsia="Calibri" w:hAnsi="Times New Roman" w:cs="Times New Roman"/>
          <w:sz w:val="24"/>
          <w:szCs w:val="24"/>
        </w:rPr>
        <w:t>separate</w:t>
      </w:r>
      <w:r w:rsidR="008C197E" w:rsidRPr="00EA5E7C">
        <w:rPr>
          <w:rFonts w:ascii="Times New Roman" w:eastAsia="Calibri" w:hAnsi="Times New Roman" w:cs="Times New Roman"/>
          <w:sz w:val="24"/>
          <w:szCs w:val="24"/>
        </w:rPr>
        <w:t xml:space="preserve"> </w:t>
      </w:r>
      <w:r w:rsidR="00EA5E7C" w:rsidRPr="00EA5E7C">
        <w:rPr>
          <w:rFonts w:ascii="Times New Roman" w:eastAsia="Calibri" w:hAnsi="Times New Roman" w:cs="Times New Roman"/>
          <w:sz w:val="24"/>
          <w:szCs w:val="24"/>
        </w:rPr>
        <w:t>travel grant.</w:t>
      </w:r>
    </w:p>
    <w:p w14:paraId="294FC4AF" w14:textId="77777777" w:rsidR="00A72817" w:rsidRDefault="00A72817" w:rsidP="009F56A7">
      <w:pPr>
        <w:pStyle w:val="Lijstalinea"/>
        <w:rPr>
          <w:rFonts w:ascii="Times New Roman" w:hAnsi="Times New Roman"/>
          <w:sz w:val="24"/>
          <w:szCs w:val="24"/>
        </w:rPr>
      </w:pPr>
    </w:p>
    <w:p w14:paraId="1341C7CB" w14:textId="555E7B9A" w:rsidR="007F00EB" w:rsidRPr="00087269" w:rsidRDefault="007F00EB" w:rsidP="00087269">
      <w:pPr>
        <w:pStyle w:val="Lijstalinea"/>
        <w:rPr>
          <w:rFonts w:ascii="Times New Roman" w:hAnsi="Times New Roman"/>
          <w:sz w:val="24"/>
          <w:szCs w:val="24"/>
        </w:rPr>
      </w:pPr>
    </w:p>
    <w:p w14:paraId="4E897111" w14:textId="1E8BAD2A" w:rsidR="007F00EB" w:rsidRDefault="00D71BD6" w:rsidP="00087269">
      <w:pPr>
        <w:pStyle w:val="Lijstalinea"/>
        <w:numPr>
          <w:ilvl w:val="0"/>
          <w:numId w:val="24"/>
        </w:numPr>
        <w:ind w:left="1134"/>
        <w:jc w:val="both"/>
        <w:rPr>
          <w:rFonts w:ascii="Times New Roman" w:hAnsi="Times New Roman"/>
          <w:sz w:val="24"/>
          <w:szCs w:val="24"/>
        </w:rPr>
      </w:pPr>
      <w:r>
        <w:rPr>
          <w:rFonts w:ascii="Times New Roman" w:hAnsi="Times New Roman"/>
          <w:sz w:val="24"/>
          <w:szCs w:val="24"/>
        </w:rPr>
        <w:t>C</w:t>
      </w:r>
      <w:r w:rsidR="007F00EB">
        <w:rPr>
          <w:rFonts w:ascii="Times New Roman" w:hAnsi="Times New Roman"/>
          <w:sz w:val="24"/>
          <w:szCs w:val="24"/>
        </w:rPr>
        <w:t>osts related to visa, residence permits and vaccinati</w:t>
      </w:r>
      <w:r>
        <w:rPr>
          <w:rFonts w:ascii="Times New Roman" w:hAnsi="Times New Roman"/>
          <w:sz w:val="24"/>
          <w:szCs w:val="24"/>
        </w:rPr>
        <w:t>ons and medical certifications.</w:t>
      </w:r>
    </w:p>
    <w:p w14:paraId="52BDB2F7" w14:textId="77777777" w:rsidR="00A72817" w:rsidRPr="00604941" w:rsidRDefault="00A72817" w:rsidP="009F56A7">
      <w:pPr>
        <w:pStyle w:val="Lijstalinea"/>
        <w:ind w:left="1134"/>
        <w:jc w:val="both"/>
        <w:rPr>
          <w:rFonts w:ascii="Times New Roman" w:hAnsi="Times New Roman"/>
          <w:sz w:val="24"/>
          <w:szCs w:val="24"/>
        </w:rPr>
      </w:pPr>
    </w:p>
    <w:p w14:paraId="528797E7" w14:textId="77777777" w:rsidR="005E662F" w:rsidRDefault="005E662F" w:rsidP="00604941">
      <w:pPr>
        <w:pStyle w:val="Lijstalinea"/>
        <w:jc w:val="both"/>
        <w:rPr>
          <w:rFonts w:ascii="Times New Roman" w:eastAsia="Calibri" w:hAnsi="Times New Roman" w:cs="Times New Roman"/>
          <w:sz w:val="24"/>
          <w:szCs w:val="24"/>
        </w:rPr>
      </w:pPr>
    </w:p>
    <w:p w14:paraId="36DB6185" w14:textId="77777777" w:rsidR="00B20DB0" w:rsidRDefault="00B20DB0" w:rsidP="00087269">
      <w:pPr>
        <w:pStyle w:val="Lijstalinea"/>
        <w:numPr>
          <w:ilvl w:val="0"/>
          <w:numId w:val="22"/>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jstalinea"/>
        <w:jc w:val="both"/>
        <w:rPr>
          <w:rFonts w:ascii="Times New Roman" w:hAnsi="Times New Roman"/>
          <w:sz w:val="24"/>
          <w:szCs w:val="24"/>
        </w:rPr>
      </w:pPr>
    </w:p>
    <w:p w14:paraId="390F3DA8" w14:textId="45D134B4" w:rsidR="00B20DB0" w:rsidRDefault="00417D8C" w:rsidP="00087269">
      <w:pPr>
        <w:pStyle w:val="Lijstalinea"/>
        <w:numPr>
          <w:ilvl w:val="0"/>
          <w:numId w:val="25"/>
        </w:numPr>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w:t>
      </w:r>
      <w:r w:rsidR="00B20DB0">
        <w:rPr>
          <w:rFonts w:ascii="Times New Roman" w:hAnsi="Times New Roman"/>
          <w:sz w:val="24"/>
          <w:szCs w:val="24"/>
        </w:rPr>
        <w:lastRenderedPageBreak/>
        <w:t xml:space="preserve">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jstalinea"/>
        <w:ind w:left="1134"/>
        <w:jc w:val="both"/>
        <w:rPr>
          <w:rFonts w:ascii="Times New Roman" w:hAnsi="Times New Roman"/>
          <w:sz w:val="24"/>
          <w:szCs w:val="24"/>
        </w:rPr>
      </w:pPr>
    </w:p>
    <w:p w14:paraId="4265EF69" w14:textId="5E6FD5FB" w:rsidR="007F00EB" w:rsidRDefault="00B20DB0" w:rsidP="00087269">
      <w:pPr>
        <w:pStyle w:val="Lijstalinea"/>
        <w:numPr>
          <w:ilvl w:val="0"/>
          <w:numId w:val="25"/>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087269">
      <w:pPr>
        <w:pStyle w:val="Lijstalinea"/>
        <w:rPr>
          <w:rFonts w:ascii="Times New Roman" w:hAnsi="Times New Roman"/>
          <w:sz w:val="24"/>
          <w:szCs w:val="24"/>
        </w:rPr>
      </w:pPr>
    </w:p>
    <w:p w14:paraId="2FDAEA80" w14:textId="6DF884C6" w:rsidR="007F00EB" w:rsidRPr="00C74C94" w:rsidRDefault="007F00EB" w:rsidP="00087269">
      <w:pPr>
        <w:pStyle w:val="Lijstalinea"/>
        <w:numPr>
          <w:ilvl w:val="0"/>
          <w:numId w:val="25"/>
        </w:numPr>
        <w:tabs>
          <w:tab w:val="left" w:pos="851"/>
        </w:tabs>
        <w:ind w:left="1134"/>
        <w:jc w:val="both"/>
        <w:rPr>
          <w:rFonts w:ascii="Times New Roman" w:hAnsi="Times New Roman"/>
          <w:sz w:val="24"/>
          <w:szCs w:val="24"/>
        </w:rPr>
      </w:pPr>
      <w:r>
        <w:rPr>
          <w:rFonts w:ascii="Times New Roman" w:hAnsi="Times New Roman"/>
          <w:sz w:val="24"/>
          <w:szCs w:val="24"/>
        </w:rPr>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ent of the related costs on the basis of invoices specifying the name and address of the body issuing the invoice, the amount and currency, and the date of the invoice.</w:t>
      </w:r>
    </w:p>
    <w:p w14:paraId="49137FD2" w14:textId="7A509408" w:rsidR="00C74C94" w:rsidRPr="00C74C94" w:rsidRDefault="00C74C94" w:rsidP="00C74C94">
      <w:pPr>
        <w:tabs>
          <w:tab w:val="left" w:pos="851"/>
        </w:tabs>
        <w:jc w:val="both"/>
        <w:rPr>
          <w:rFonts w:ascii="Times New Roman" w:hAnsi="Times New Roman"/>
          <w:sz w:val="24"/>
          <w:szCs w:val="24"/>
        </w:rPr>
      </w:pPr>
    </w:p>
    <w:p w14:paraId="793BB0FA" w14:textId="05DFBB6E" w:rsidR="00F51B7B" w:rsidRPr="00DC559D" w:rsidRDefault="00F51B7B" w:rsidP="00F51B7B">
      <w:pPr>
        <w:spacing w:line="100" w:lineRule="atLeast"/>
        <w:jc w:val="both"/>
        <w:rPr>
          <w:rFonts w:ascii="Times New Roman" w:hAnsi="Times New Roman"/>
          <w:sz w:val="24"/>
          <w:szCs w:val="24"/>
          <w:shd w:val="clear" w:color="auto" w:fill="00FFFF"/>
          <w:lang w:val="en-US"/>
        </w:rPr>
      </w:pPr>
      <w:r w:rsidRPr="00DC559D">
        <w:rPr>
          <w:rFonts w:ascii="Times New Roman" w:hAnsi="Times New Roman"/>
          <w:sz w:val="24"/>
          <w:szCs w:val="24"/>
          <w:shd w:val="clear" w:color="auto" w:fill="00FFFF"/>
          <w:lang w:val="en-US"/>
        </w:rPr>
        <w:t>[Key Action 1 – Youth Workers Mobility:</w:t>
      </w:r>
    </w:p>
    <w:p w14:paraId="02015F3C" w14:textId="77777777" w:rsidR="00F51B7B" w:rsidRDefault="00F51B7B" w:rsidP="00F51B7B">
      <w:pPr>
        <w:jc w:val="both"/>
        <w:rPr>
          <w:rFonts w:ascii="Times New Roman" w:hAnsi="Times New Roman"/>
          <w:sz w:val="24"/>
          <w:szCs w:val="24"/>
          <w:shd w:val="clear" w:color="auto" w:fill="00FFFF"/>
          <w:lang w:val="en-US"/>
        </w:rPr>
      </w:pPr>
      <w:r w:rsidRPr="00DC559D">
        <w:rPr>
          <w:rFonts w:ascii="Times New Roman" w:hAnsi="Times New Roman"/>
          <w:sz w:val="24"/>
          <w:szCs w:val="24"/>
          <w:shd w:val="clear" w:color="auto" w:fill="00FFFF"/>
          <w:lang w:val="en-US"/>
        </w:rPr>
        <w:t>Complementary activities costs (System Development and Outreach Activities)</w:t>
      </w:r>
    </w:p>
    <w:p w14:paraId="09AF3061" w14:textId="77777777" w:rsidR="00F51B7B" w:rsidRDefault="00F51B7B" w:rsidP="00F51B7B">
      <w:pPr>
        <w:pStyle w:val="Lijstalinea"/>
        <w:numPr>
          <w:ilvl w:val="0"/>
          <w:numId w:val="132"/>
        </w:numPr>
        <w:suppressAutoHyphens w:val="0"/>
        <w:ind w:left="851"/>
        <w:jc w:val="both"/>
        <w:rPr>
          <w:rFonts w:ascii="Times New Roman" w:hAnsi="Times New Roman" w:cs="Times New Roman"/>
          <w:sz w:val="24"/>
          <w:szCs w:val="24"/>
        </w:rPr>
      </w:pPr>
      <w:r>
        <w:rPr>
          <w:rFonts w:ascii="Times New Roman" w:hAnsi="Times New Roman" w:cs="Times New Roman"/>
          <w:sz w:val="24"/>
          <w:szCs w:val="24"/>
        </w:rPr>
        <w:t>Calculation of the grant amount: the grant is a reimbursement of 80% of the eligible costs actually incurred for costs directly linked to the implementation of the Complementary Activities and including a flat-rate amount for indirect costs not exceeding 7% of the eligible direct costs of the complementary activities.</w:t>
      </w:r>
    </w:p>
    <w:p w14:paraId="31798AB0" w14:textId="77777777" w:rsidR="00C74C94" w:rsidRDefault="00C74C94" w:rsidP="00C74C94">
      <w:pPr>
        <w:pStyle w:val="Lijstalinea"/>
        <w:suppressAutoHyphens w:val="0"/>
        <w:ind w:left="851"/>
        <w:jc w:val="both"/>
        <w:rPr>
          <w:rFonts w:ascii="Times New Roman" w:hAnsi="Times New Roman" w:cs="Times New Roman"/>
          <w:sz w:val="24"/>
          <w:szCs w:val="24"/>
        </w:rPr>
      </w:pPr>
    </w:p>
    <w:p w14:paraId="20DFB9D5" w14:textId="4863A339" w:rsidR="00F51B7B" w:rsidRDefault="00F51B7B" w:rsidP="00F51B7B">
      <w:pPr>
        <w:pStyle w:val="Lijstalinea"/>
        <w:numPr>
          <w:ilvl w:val="0"/>
          <w:numId w:val="132"/>
        </w:numPr>
        <w:suppressAutoHyphens w:val="0"/>
        <w:ind w:left="851"/>
        <w:jc w:val="both"/>
        <w:rPr>
          <w:rFonts w:ascii="Times New Roman" w:hAnsi="Times New Roman" w:cs="Times New Roman"/>
          <w:sz w:val="24"/>
          <w:szCs w:val="24"/>
        </w:rPr>
      </w:pPr>
      <w:r>
        <w:rPr>
          <w:rFonts w:ascii="Times New Roman" w:hAnsi="Times New Roman" w:cs="Times New Roman"/>
          <w:sz w:val="24"/>
          <w:szCs w:val="24"/>
        </w:rPr>
        <w:t xml:space="preserve">Eligible costs: </w:t>
      </w:r>
    </w:p>
    <w:p w14:paraId="603F7317" w14:textId="77777777" w:rsidR="00C74C94" w:rsidRDefault="00C74C94" w:rsidP="00C74C94">
      <w:pPr>
        <w:pStyle w:val="Lijstalinea"/>
        <w:suppressAutoHyphens w:val="0"/>
        <w:jc w:val="both"/>
        <w:rPr>
          <w:rFonts w:ascii="Times New Roman" w:hAnsi="Times New Roman" w:cs="Times New Roman"/>
          <w:sz w:val="24"/>
          <w:szCs w:val="24"/>
        </w:rPr>
      </w:pPr>
    </w:p>
    <w:p w14:paraId="41E8DA84" w14:textId="47E2BB7D" w:rsidR="00F51B7B" w:rsidRDefault="00F51B7B" w:rsidP="00F51B7B">
      <w:pPr>
        <w:pStyle w:val="Lijstalinea"/>
        <w:numPr>
          <w:ilvl w:val="0"/>
          <w:numId w:val="133"/>
        </w:numPr>
        <w:suppressAutoHyphens w:val="0"/>
        <w:jc w:val="both"/>
        <w:rPr>
          <w:rFonts w:ascii="Times New Roman" w:hAnsi="Times New Roman" w:cs="Times New Roman"/>
          <w:sz w:val="24"/>
          <w:szCs w:val="24"/>
        </w:rPr>
      </w:pPr>
      <w:r>
        <w:rPr>
          <w:rFonts w:ascii="Times New Roman" w:hAnsi="Times New Roman" w:cs="Times New Roman"/>
          <w:sz w:val="24"/>
          <w:szCs w:val="24"/>
        </w:rPr>
        <w:t>Costs directly linked to the implementation of the Complementary Activities, including sub-contracting and purchase of goods and services, in so far as applied for by the beneficiary and in so far as approved by the NA and specified in Annex I;</w:t>
      </w:r>
    </w:p>
    <w:p w14:paraId="1D13C2C0" w14:textId="77777777" w:rsidR="00F51B7B" w:rsidRDefault="00F51B7B" w:rsidP="00F51B7B">
      <w:pPr>
        <w:pStyle w:val="Lijstalinea"/>
        <w:numPr>
          <w:ilvl w:val="0"/>
          <w:numId w:val="133"/>
        </w:numPr>
        <w:suppressAutoHyphens w:val="0"/>
        <w:jc w:val="both"/>
        <w:rPr>
          <w:rFonts w:ascii="Times New Roman" w:hAnsi="Times New Roman" w:cs="Times New Roman"/>
          <w:sz w:val="24"/>
          <w:szCs w:val="24"/>
        </w:rPr>
      </w:pPr>
      <w:r>
        <w:rPr>
          <w:rFonts w:ascii="Times New Roman" w:hAnsi="Times New Roman" w:cs="Times New Roman"/>
          <w:sz w:val="24"/>
          <w:szCs w:val="24"/>
        </w:rPr>
        <w:t>Indirect costs representing the beneficiary's general administrative costs which can be regarded as chargeable to the project (e.g. electricity or internet bills, costs for premises, cost of permanent staff, etc.) not exceeding 7% of the eligible direct costs of the Complementary Activities.</w:t>
      </w:r>
    </w:p>
    <w:p w14:paraId="1A22F1CE" w14:textId="77777777" w:rsidR="00F51B7B" w:rsidRDefault="00F51B7B" w:rsidP="00F51B7B">
      <w:pPr>
        <w:pStyle w:val="Lijstalinea"/>
        <w:ind w:left="851"/>
        <w:jc w:val="both"/>
        <w:rPr>
          <w:rFonts w:ascii="Times New Roman" w:hAnsi="Times New Roman" w:cs="Times New Roman"/>
          <w:sz w:val="24"/>
          <w:szCs w:val="24"/>
        </w:rPr>
      </w:pPr>
    </w:p>
    <w:p w14:paraId="60D91D29" w14:textId="73261CDC" w:rsidR="00AC55A5" w:rsidRDefault="00F51B7B" w:rsidP="00DC559D">
      <w:pPr>
        <w:pStyle w:val="Lijstalinea"/>
        <w:numPr>
          <w:ilvl w:val="0"/>
          <w:numId w:val="132"/>
        </w:numPr>
        <w:jc w:val="both"/>
        <w:rPr>
          <w:rFonts w:ascii="Times New Roman" w:hAnsi="Times New Roman"/>
          <w:sz w:val="24"/>
          <w:szCs w:val="24"/>
          <w:lang w:val="en-US"/>
        </w:rPr>
      </w:pPr>
      <w:r w:rsidRPr="00977075">
        <w:rPr>
          <w:rFonts w:ascii="Times New Roman" w:hAnsi="Times New Roman"/>
          <w:sz w:val="24"/>
          <w:szCs w:val="24"/>
          <w:lang w:val="en-US"/>
        </w:rPr>
        <w:t xml:space="preserve">Supporting documents: </w:t>
      </w:r>
    </w:p>
    <w:p w14:paraId="2201F300" w14:textId="77777777" w:rsidR="003D0496" w:rsidRPr="00AC55A5" w:rsidRDefault="003D0496">
      <w:pPr>
        <w:pStyle w:val="Lijstalinea"/>
        <w:jc w:val="both"/>
        <w:rPr>
          <w:rFonts w:ascii="Times New Roman" w:hAnsi="Times New Roman"/>
          <w:sz w:val="24"/>
          <w:szCs w:val="24"/>
          <w:lang w:val="en-US"/>
        </w:rPr>
      </w:pPr>
    </w:p>
    <w:p w14:paraId="6EE84FF5" w14:textId="0DC14FB2" w:rsidR="00AC55A5" w:rsidRPr="0003022F" w:rsidRDefault="00AC55A5">
      <w:pPr>
        <w:pStyle w:val="Lijstalinea"/>
        <w:numPr>
          <w:ilvl w:val="0"/>
          <w:numId w:val="45"/>
        </w:numPr>
        <w:ind w:left="1134"/>
        <w:jc w:val="both"/>
        <w:rPr>
          <w:rFonts w:ascii="Times New Roman" w:hAnsi="Times New Roman" w:cs="Times New Roman"/>
          <w:sz w:val="24"/>
          <w:szCs w:val="24"/>
        </w:rPr>
      </w:pPr>
      <w:r w:rsidRPr="0003022F">
        <w:rPr>
          <w:rFonts w:ascii="Times New Roman" w:hAnsi="Times New Roman" w:cs="Times New Roman"/>
          <w:sz w:val="24"/>
          <w:szCs w:val="24"/>
        </w:rPr>
        <w:t>For direct costs: proof of payment of the related costs on the basis of invoices of the actual costs incurred, specifying the name and address of the body issuing the invoice, the amount and currency, and the date of the invoice.</w:t>
      </w:r>
    </w:p>
    <w:p w14:paraId="6DF53C74" w14:textId="182E2314" w:rsidR="003D0496" w:rsidRPr="007E7CED" w:rsidRDefault="00AC55A5">
      <w:pPr>
        <w:pStyle w:val="Lijstalinea"/>
        <w:numPr>
          <w:ilvl w:val="0"/>
          <w:numId w:val="4"/>
        </w:numPr>
        <w:rPr>
          <w:rFonts w:ascii="Times New Roman" w:hAnsi="Times New Roman"/>
          <w:b/>
          <w:bCs/>
          <w:sz w:val="24"/>
          <w:szCs w:val="24"/>
          <w:shd w:val="clear" w:color="auto" w:fill="FFFF00"/>
          <w:lang w:val="en-US"/>
        </w:rPr>
      </w:pPr>
      <w:r w:rsidRPr="003D0496">
        <w:rPr>
          <w:rFonts w:ascii="Times New Roman" w:hAnsi="Times New Roman" w:cs="Times New Roman"/>
          <w:sz w:val="24"/>
          <w:szCs w:val="24"/>
        </w:rPr>
        <w:t>For</w:t>
      </w:r>
      <w:r w:rsidRPr="003D0496">
        <w:rPr>
          <w:rFonts w:ascii="Times New Roman" w:hAnsi="Times New Roman"/>
          <w:sz w:val="24"/>
          <w:szCs w:val="24"/>
        </w:rPr>
        <w:t xml:space="preserve"> indirect costs: no supporting documents required</w:t>
      </w:r>
      <w:r w:rsidR="003D0496">
        <w:rPr>
          <w:rFonts w:ascii="Times New Roman" w:hAnsi="Times New Roman"/>
          <w:sz w:val="24"/>
          <w:szCs w:val="24"/>
        </w:rPr>
        <w:t>]</w:t>
      </w:r>
    </w:p>
    <w:p w14:paraId="083D9B9F" w14:textId="77777777" w:rsidR="00B20DB0" w:rsidRPr="00087269" w:rsidRDefault="00B20DB0">
      <w:pPr>
        <w:pStyle w:val="Lijstalinea"/>
        <w:ind w:left="1069"/>
      </w:pPr>
    </w:p>
    <w:p w14:paraId="442ACB10" w14:textId="0D3266BA" w:rsidR="00B20DB0" w:rsidRDefault="00B20DB0" w:rsidP="00087269">
      <w:pPr>
        <w:pStyle w:val="Lijstalinea"/>
        <w:numPr>
          <w:ilvl w:val="0"/>
          <w:numId w:val="19"/>
        </w:numPr>
        <w:jc w:val="both"/>
      </w:pPr>
      <w:r w:rsidRPr="00B578BC">
        <w:rPr>
          <w:rFonts w:ascii="Times New Roman" w:hAnsi="Times New Roman"/>
          <w:sz w:val="24"/>
          <w:szCs w:val="24"/>
        </w:rPr>
        <w:t>Reporting:</w:t>
      </w:r>
    </w:p>
    <w:p w14:paraId="5A438EFE" w14:textId="45752C90" w:rsidR="00FF4C41" w:rsidRPr="00087269" w:rsidRDefault="00977075" w:rsidP="00087269">
      <w:pPr>
        <w:pStyle w:val="Lijstalinea"/>
        <w:numPr>
          <w:ilvl w:val="0"/>
          <w:numId w:val="45"/>
        </w:numPr>
        <w:ind w:left="1134"/>
        <w:jc w:val="both"/>
        <w:rPr>
          <w:rFonts w:ascii="Times New Roman" w:hAnsi="Times New Roman"/>
          <w:sz w:val="24"/>
          <w:szCs w:val="24"/>
        </w:rPr>
      </w:pPr>
      <w:r>
        <w:rPr>
          <w:rFonts w:ascii="Times New Roman" w:hAnsi="Times New Roman"/>
          <w:sz w:val="24"/>
          <w:szCs w:val="24"/>
        </w:rPr>
        <w:t xml:space="preserve">For direct costs: </w:t>
      </w:r>
      <w:r w:rsidR="000A532B" w:rsidRPr="000A532B">
        <w:rPr>
          <w:rFonts w:ascii="Times New Roman" w:hAnsi="Times New Roman"/>
          <w:sz w:val="24"/>
          <w:szCs w:val="24"/>
        </w:rPr>
        <w:t>for each cost item in this budget category, the beneficiary must report the type of costs and the real amount</w:t>
      </w:r>
      <w:r w:rsidR="000A532B" w:rsidRPr="000A532B" w:rsidDel="00D041AD">
        <w:rPr>
          <w:rFonts w:ascii="Times New Roman" w:hAnsi="Times New Roman"/>
          <w:sz w:val="24"/>
          <w:szCs w:val="24"/>
        </w:rPr>
        <w:t xml:space="preserve"> </w:t>
      </w:r>
      <w:r w:rsidR="000A532B" w:rsidRPr="000A532B">
        <w:rPr>
          <w:rFonts w:ascii="Times New Roman" w:hAnsi="Times New Roman"/>
          <w:sz w:val="24"/>
          <w:szCs w:val="24"/>
        </w:rPr>
        <w:t>of costs incurred</w:t>
      </w:r>
    </w:p>
    <w:p w14:paraId="3B3B6116" w14:textId="15587C9C" w:rsidR="00977075" w:rsidRPr="00087269" w:rsidRDefault="00977075" w:rsidP="00087269">
      <w:pPr>
        <w:pStyle w:val="Lijstalinea"/>
        <w:numPr>
          <w:ilvl w:val="0"/>
          <w:numId w:val="45"/>
        </w:numPr>
        <w:ind w:left="1134"/>
        <w:jc w:val="both"/>
        <w:rPr>
          <w:rFonts w:ascii="Times New Roman" w:hAnsi="Times New Roman"/>
          <w:sz w:val="24"/>
          <w:szCs w:val="24"/>
        </w:rPr>
      </w:pPr>
      <w:r w:rsidRPr="00AC55A5">
        <w:rPr>
          <w:rFonts w:ascii="Times New Roman" w:hAnsi="Times New Roman"/>
          <w:sz w:val="24"/>
          <w:szCs w:val="24"/>
          <w:lang w:val="en-US"/>
        </w:rPr>
        <w:t xml:space="preserve">For indirect costs: no </w:t>
      </w:r>
      <w:r>
        <w:rPr>
          <w:rFonts w:ascii="Times New Roman" w:hAnsi="Times New Roman"/>
          <w:sz w:val="24"/>
          <w:szCs w:val="24"/>
          <w:lang w:val="en-US"/>
        </w:rPr>
        <w:t>reporting</w:t>
      </w:r>
      <w:r w:rsidRPr="00AC55A5">
        <w:rPr>
          <w:rFonts w:ascii="Times New Roman" w:hAnsi="Times New Roman"/>
          <w:sz w:val="24"/>
          <w:szCs w:val="24"/>
          <w:lang w:val="en-US"/>
        </w:rPr>
        <w:t xml:space="preserve"> required</w:t>
      </w:r>
    </w:p>
    <w:p w14:paraId="023521CF" w14:textId="77777777" w:rsidR="00B20DB0" w:rsidRDefault="00B20DB0" w:rsidP="00087269">
      <w:pPr>
        <w:jc w:val="both"/>
        <w:rPr>
          <w:rFonts w:ascii="Times New Roman" w:hAnsi="Times New Roman"/>
          <w:sz w:val="24"/>
          <w:szCs w:val="24"/>
        </w:rPr>
      </w:pPr>
    </w:p>
    <w:p w14:paraId="4B5EB633" w14:textId="1751DC50" w:rsidR="00B20DB0" w:rsidRDefault="00B20DB0" w:rsidP="00087269">
      <w:pPr>
        <w:pStyle w:val="Kop1"/>
        <w:numPr>
          <w:ilvl w:val="0"/>
          <w:numId w:val="125"/>
        </w:numPr>
      </w:pPr>
      <w:bookmarkStart w:id="2" w:name="_Toc72322256"/>
      <w:r w:rsidRPr="0062612F">
        <w:lastRenderedPageBreak/>
        <w:t>CONDITIONS OF ELIGIBILITY OF PROJECT ACTIVITIES</w:t>
      </w:r>
      <w:bookmarkEnd w:id="2"/>
    </w:p>
    <w:p w14:paraId="3D4465CA" w14:textId="77777777" w:rsidR="0062612F" w:rsidRPr="0062612F" w:rsidRDefault="0062612F" w:rsidP="00087269">
      <w:pPr>
        <w:pStyle w:val="Platteteks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09202C3F" w:rsidR="00B20DB0" w:rsidRDefault="00BD0C79" w:rsidP="00087269">
      <w:pPr>
        <w:pStyle w:val="Kop1"/>
        <w:numPr>
          <w:ilvl w:val="0"/>
          <w:numId w:val="125"/>
        </w:numPr>
      </w:pPr>
      <w:bookmarkStart w:id="3" w:name="_Toc72322257"/>
      <w:r>
        <w:t>FINAL REPORT</w:t>
      </w:r>
      <w:r w:rsidR="00B20DB0">
        <w:t xml:space="preserve">  </w:t>
      </w:r>
      <w:bookmarkEnd w:id="3"/>
    </w:p>
    <w:p w14:paraId="061820B4" w14:textId="77777777" w:rsidR="0062612F" w:rsidRPr="00087269" w:rsidRDefault="0062612F" w:rsidP="00087269">
      <w:pPr>
        <w:pStyle w:val="Plattetekst"/>
      </w:pPr>
    </w:p>
    <w:p w14:paraId="62400838" w14:textId="6A9313CF"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[For non-accredited beneficiaries:</w:t>
      </w:r>
    </w:p>
    <w:p w14:paraId="64DEE741" w14:textId="45D8BA01"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 xml:space="preserve">n with the participant reports, and it will be scored on a total of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rsidDel="00D04BB5">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34B37677" w14:textId="2BE9693D" w:rsidR="00AF5ABC" w:rsidRDefault="00AF5ABC" w:rsidP="00087269">
      <w:pPr>
        <w:jc w:val="both"/>
        <w:rPr>
          <w:rFonts w:ascii="Times New Roman" w:hAnsi="Times New Roman"/>
          <w:sz w:val="24"/>
          <w:szCs w:val="24"/>
        </w:rPr>
      </w:pPr>
      <w:r w:rsidRPr="006E0FC2">
        <w:rPr>
          <w:rFonts w:ascii="Times New Roman" w:hAnsi="Times New Roman"/>
          <w:sz w:val="24"/>
          <w:szCs w:val="24"/>
        </w:rPr>
        <w:t>The beneficiary must submit the final report after the project end da</w:t>
      </w:r>
      <w:r>
        <w:rPr>
          <w:rFonts w:ascii="Times New Roman" w:hAnsi="Times New Roman"/>
          <w:sz w:val="24"/>
          <w:szCs w:val="24"/>
        </w:rPr>
        <w:t>te or whenever the foreseen activities have been completed.</w:t>
      </w:r>
    </w:p>
    <w:p w14:paraId="7BFF814D" w14:textId="3E4A59F2"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[For accredited beneficiaries:</w:t>
      </w:r>
    </w:p>
    <w:p w14:paraId="36010835" w14:textId="3AFFEE1B"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and it will be scored on a total of maximum 100 points. 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12094D58" w14:textId="7D696562" w:rsidR="007A2A40" w:rsidRPr="00DC559D"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t>
      </w:r>
      <w:r w:rsidR="00673234">
        <w:rPr>
          <w:rFonts w:ascii="Times New Roman" w:hAnsi="Times New Roman"/>
          <w:sz w:val="24"/>
          <w:szCs w:val="24"/>
        </w:rPr>
        <w:t>will</w:t>
      </w:r>
      <w:r>
        <w:rPr>
          <w:rFonts w:ascii="Times New Roman" w:hAnsi="Times New Roman"/>
          <w:sz w:val="24"/>
          <w:szCs w:val="24"/>
        </w:rPr>
        <w:t xml:space="preserve">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p>
    <w:p w14:paraId="3F1FA110" w14:textId="1F34C0CC" w:rsidR="00BD0C79" w:rsidRDefault="00BD0C79" w:rsidP="00087269">
      <w:pPr>
        <w:pStyle w:val="Kop1"/>
        <w:numPr>
          <w:ilvl w:val="0"/>
          <w:numId w:val="125"/>
        </w:numPr>
      </w:pPr>
      <w:bookmarkStart w:id="4" w:name="_Toc72322258"/>
      <w:r>
        <w:lastRenderedPageBreak/>
        <w:t>GRANT REDUCTION FOR POOR, PARTIAL OR LATE IMPLEMENTATION</w:t>
      </w:r>
      <w:bookmarkEnd w:id="4"/>
      <w:r>
        <w:t xml:space="preserve">  </w:t>
      </w:r>
    </w:p>
    <w:p w14:paraId="4B5F8BBE" w14:textId="77777777" w:rsidR="0062612F" w:rsidRPr="00087269" w:rsidRDefault="0062612F" w:rsidP="00087269">
      <w:pPr>
        <w:pStyle w:val="Platteteks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2FA01EDB"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4934CFFB" w:rsidR="00F46020" w:rsidRDefault="00F46020" w:rsidP="00F46020">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30E9EBF5" w14:textId="6D7CEF19" w:rsidR="006D35CB" w:rsidRPr="00DC559D" w:rsidRDefault="006D6FED" w:rsidP="00087269">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79B613A2" w14:textId="62988B73" w:rsidR="00B20DB0" w:rsidRDefault="0020179E" w:rsidP="000E18BF">
      <w:pPr>
        <w:spacing w:after="0"/>
        <w:ind w:left="1417"/>
        <w:jc w:val="both"/>
        <w:rPr>
          <w:rFonts w:ascii="Times New Roman" w:hAnsi="Times New Roman"/>
          <w:sz w:val="24"/>
          <w:szCs w:val="24"/>
        </w:rPr>
      </w:pPr>
      <w:r w:rsidDel="0020179E">
        <w:rPr>
          <w:rFonts w:ascii="Times New Roman" w:hAnsi="Times New Roman"/>
          <w:sz w:val="24"/>
          <w:szCs w:val="24"/>
        </w:rPr>
        <w:t xml:space="preserve"> </w:t>
      </w:r>
    </w:p>
    <w:p w14:paraId="112A9AEA" w14:textId="141558E3" w:rsidR="00DC559D" w:rsidRDefault="00DC559D" w:rsidP="000E18BF">
      <w:pPr>
        <w:spacing w:after="0"/>
        <w:ind w:left="1417"/>
        <w:jc w:val="both"/>
        <w:rPr>
          <w:rFonts w:ascii="Times New Roman" w:hAnsi="Times New Roman"/>
          <w:sz w:val="24"/>
          <w:szCs w:val="24"/>
        </w:rPr>
      </w:pPr>
    </w:p>
    <w:p w14:paraId="11FFB51D" w14:textId="05963B9A" w:rsidR="00DC559D" w:rsidRDefault="00DC559D" w:rsidP="000E18BF">
      <w:pPr>
        <w:spacing w:after="0"/>
        <w:ind w:left="1417"/>
        <w:jc w:val="both"/>
        <w:rPr>
          <w:rFonts w:ascii="Times New Roman" w:hAnsi="Times New Roman"/>
          <w:sz w:val="24"/>
          <w:szCs w:val="24"/>
        </w:rPr>
      </w:pPr>
    </w:p>
    <w:p w14:paraId="6F79464E" w14:textId="77777777" w:rsidR="00DC559D" w:rsidRPr="000E18BF" w:rsidRDefault="00DC559D" w:rsidP="000E18BF">
      <w:pPr>
        <w:spacing w:after="0"/>
        <w:ind w:left="1417"/>
        <w:jc w:val="both"/>
        <w:rPr>
          <w:rFonts w:ascii="Times New Roman" w:hAnsi="Times New Roman"/>
          <w:sz w:val="24"/>
          <w:szCs w:val="24"/>
        </w:rPr>
      </w:pPr>
    </w:p>
    <w:p w14:paraId="5E2AABB2" w14:textId="0A2378C6" w:rsidR="0062612F" w:rsidRDefault="00B20DB0" w:rsidP="00087269">
      <w:pPr>
        <w:pStyle w:val="Kop1"/>
        <w:numPr>
          <w:ilvl w:val="0"/>
          <w:numId w:val="125"/>
        </w:numPr>
        <w:rPr>
          <w:u w:val="single"/>
          <w:shd w:val="clear" w:color="auto" w:fill="00FFFF"/>
        </w:rPr>
      </w:pPr>
      <w:bookmarkStart w:id="5" w:name="_Toc72322259"/>
      <w:r>
        <w:t>GRANT MODIFICATIONS</w:t>
      </w:r>
      <w:bookmarkEnd w:id="5"/>
    </w:p>
    <w:p w14:paraId="591C1D7E" w14:textId="142E5674" w:rsidR="00B20DB0" w:rsidRPr="0062612F" w:rsidRDefault="00B20DB0" w:rsidP="00087269">
      <w:pPr>
        <w:pStyle w:val="Lijstalinea"/>
        <w:rPr>
          <w:u w:val="single"/>
          <w:shd w:val="clear" w:color="auto" w:fill="00FFFF"/>
        </w:rPr>
      </w:pP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D258F1B" w14:textId="368EC36F" w:rsidR="00B20DB0" w:rsidRPr="00087269" w:rsidRDefault="00B20DB0">
      <w:pPr>
        <w:widowControl w:val="0"/>
        <w:spacing w:after="0" w:line="273" w:lineRule="auto"/>
        <w:jc w:val="both"/>
        <w:rPr>
          <w:rFonts w:ascii="Times New Roman" w:hAnsi="Times New Roman"/>
          <w:sz w:val="24"/>
          <w:szCs w:val="24"/>
        </w:rPr>
      </w:pPr>
      <w:r w:rsidRPr="00087269">
        <w:rPr>
          <w:rFonts w:ascii="Times New Roman" w:hAnsi="Times New Roman"/>
          <w:sz w:val="24"/>
          <w:szCs w:val="24"/>
          <w:shd w:val="clear" w:color="auto" w:fill="00FFFF"/>
        </w:rPr>
        <w:t>[</w:t>
      </w:r>
      <w:r w:rsidR="005A6075" w:rsidRPr="00087269">
        <w:rPr>
          <w:rFonts w:ascii="Times New Roman" w:hAnsi="Times New Roman"/>
          <w:sz w:val="24"/>
          <w:szCs w:val="24"/>
          <w:shd w:val="clear" w:color="auto" w:fill="00FFFF"/>
        </w:rPr>
        <w:t>For accredited beneficiaries</w:t>
      </w:r>
      <w:r w:rsidR="00DC559D">
        <w:rPr>
          <w:rFonts w:ascii="Times New Roman" w:hAnsi="Times New Roman"/>
          <w:sz w:val="24"/>
          <w:szCs w:val="24"/>
          <w:shd w:val="clear" w:color="auto" w:fill="00FFFF"/>
        </w:rPr>
        <w:t>:</w:t>
      </w:r>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60C284EF"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Pr>
          <w:rFonts w:ascii="Times New Roman" w:hAnsi="Times New Roman"/>
          <w:sz w:val="24"/>
          <w:szCs w:val="24"/>
        </w:rPr>
        <w:t>in the following cases:</w:t>
      </w:r>
    </w:p>
    <w:p w14:paraId="18BE5A6C" w14:textId="77777777" w:rsidR="00093258" w:rsidRDefault="00093258">
      <w:pPr>
        <w:widowControl w:val="0"/>
        <w:spacing w:after="0" w:line="273" w:lineRule="auto"/>
        <w:jc w:val="both"/>
        <w:rPr>
          <w:rFonts w:ascii="Times New Roman" w:hAnsi="Times New Roman"/>
          <w:sz w:val="24"/>
          <w:szCs w:val="24"/>
          <w:u w:val="single"/>
        </w:rPr>
      </w:pPr>
    </w:p>
    <w:p w14:paraId="2358083F" w14:textId="30D15033"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w:t>
      </w:r>
      <w:r w:rsidR="005A6075">
        <w:rPr>
          <w:rFonts w:ascii="Times New Roman" w:hAnsi="Times New Roman"/>
          <w:sz w:val="24"/>
          <w:szCs w:val="24"/>
        </w:rPr>
        <w:lastRenderedPageBreak/>
        <w:t>implement additional mobility activities.</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4E639B69" w14:textId="1A402E9B"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Annex II</w:t>
      </w:r>
      <w:r w:rsidR="006C40D4">
        <w:rPr>
          <w:rFonts w:ascii="Times New Roman" w:hAnsi="Times New Roman"/>
          <w:sz w:val="24"/>
          <w:szCs w:val="24"/>
        </w:rPr>
        <w:t>.</w:t>
      </w:r>
    </w:p>
    <w:p w14:paraId="76692C6C" w14:textId="1CE18C3D"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45EABFE0" w14:textId="4B5D60D4"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t xml:space="preserve">The National Agency shall make its assessment based on the pre-financing amount already available to the beneficiary, the amount of additional funds required, and the nature of the </w:t>
      </w:r>
      <w:r w:rsidR="008E7D42">
        <w:rPr>
          <w:rFonts w:ascii="Times New Roman" w:hAnsi="Times New Roman"/>
          <w:sz w:val="24"/>
          <w:szCs w:val="24"/>
        </w:rPr>
        <w:t xml:space="preserve">approved </w:t>
      </w:r>
      <w:r>
        <w:rPr>
          <w:rFonts w:ascii="Times New Roman" w:hAnsi="Times New Roman"/>
          <w:sz w:val="24"/>
          <w:szCs w:val="24"/>
        </w:rPr>
        <w:t xml:space="preserve">expenses.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p>
    <w:p w14:paraId="12F80E43" w14:textId="77777777" w:rsidR="00B20DB0" w:rsidRDefault="00B20DB0" w:rsidP="00A809FD">
      <w:pPr>
        <w:spacing w:after="0"/>
        <w:rPr>
          <w:rFonts w:ascii="Times New Roman" w:eastAsia="SimSun" w:hAnsi="Times New Roman"/>
          <w:b/>
          <w:kern w:val="1"/>
          <w:sz w:val="24"/>
          <w:szCs w:val="24"/>
        </w:rPr>
      </w:pPr>
    </w:p>
    <w:p w14:paraId="5147DEFB" w14:textId="717DF065" w:rsidR="00B20DB0" w:rsidRDefault="00B20DB0" w:rsidP="00087269">
      <w:pPr>
        <w:pStyle w:val="Kop1"/>
        <w:numPr>
          <w:ilvl w:val="0"/>
          <w:numId w:val="125"/>
        </w:numPr>
      </w:pPr>
      <w:bookmarkStart w:id="6" w:name="_Toc72322260"/>
      <w:r>
        <w:t>CHECKS OF GRANT BENEFICIARY AND PROVISION OF SUPPORTING DOCUMENTS</w:t>
      </w:r>
      <w:bookmarkEnd w:id="6"/>
    </w:p>
    <w:p w14:paraId="71858A5B" w14:textId="77777777" w:rsidR="0062612F" w:rsidRPr="0062612F" w:rsidRDefault="0062612F" w:rsidP="00087269">
      <w:pPr>
        <w:pStyle w:val="Plattetekst"/>
      </w:pPr>
    </w:p>
    <w:p w14:paraId="4D421754" w14:textId="25E3CE0E"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w:t>
      </w:r>
      <w:r>
        <w:rPr>
          <w:rFonts w:ascii="Times New Roman" w:hAnsi="Times New Roman"/>
          <w:sz w:val="24"/>
          <w:szCs w:val="24"/>
        </w:rPr>
        <w:lastRenderedPageBreak/>
        <w:t xml:space="preserve">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277E2360"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sidR="00B20DB0">
        <w:rPr>
          <w:rFonts w:ascii="Times New Roman" w:hAnsi="Times New Roman"/>
          <w:sz w:val="24"/>
          <w:szCs w:val="24"/>
        </w:rPr>
        <w:t>.</w:t>
      </w:r>
    </w:p>
    <w:p w14:paraId="08FE5A6D" w14:textId="77777777"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jstalinea"/>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jstalinea"/>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408C9544" w14:textId="5A00468E" w:rsidR="000B2784" w:rsidRPr="007E7CED" w:rsidRDefault="000B2784" w:rsidP="55197C96">
      <w:pPr>
        <w:pStyle w:val="Lijstalinea"/>
        <w:numPr>
          <w:ilvl w:val="1"/>
          <w:numId w:val="40"/>
        </w:numPr>
        <w:jc w:val="both"/>
      </w:pPr>
      <w:r>
        <w:rPr>
          <w:rFonts w:ascii="Times New Roman" w:hAnsi="Times New Roman"/>
          <w:kern w:val="1"/>
          <w:sz w:val="24"/>
          <w:szCs w:val="24"/>
        </w:rPr>
        <w:t>Organisational support</w:t>
      </w:r>
      <w:r w:rsidR="0079766B">
        <w:rPr>
          <w:rFonts w:ascii="Times New Roman" w:hAnsi="Times New Roman"/>
          <w:kern w:val="1"/>
          <w:sz w:val="24"/>
          <w:szCs w:val="24"/>
        </w:rPr>
        <w:t xml:space="preserve"> </w:t>
      </w:r>
    </w:p>
    <w:p w14:paraId="0921D8E8" w14:textId="4FC68A6C" w:rsidR="00B20DB0" w:rsidRDefault="00B20DB0" w:rsidP="00087269">
      <w:pPr>
        <w:pStyle w:val="Lijstalinea"/>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06E319A8" w14:textId="02E60D6B" w:rsidR="0079766B" w:rsidRPr="007F0B0A" w:rsidRDefault="00B20DB0" w:rsidP="007F0B0A">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57182A2" w14:textId="5ADDFC73" w:rsidR="000B2784" w:rsidRDefault="000B2784"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p>
    <w:p w14:paraId="728AF932" w14:textId="3C1AEA0A" w:rsidR="00B20DB0" w:rsidRPr="00087269" w:rsidRDefault="000B2784" w:rsidP="00087269">
      <w:pPr>
        <w:pStyle w:val="Lijstalinea"/>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56A31A93" w14:textId="08D98542" w:rsidR="00B20DB0" w:rsidRDefault="00B20DB0" w:rsidP="007F0B0A">
      <w:pPr>
        <w:pStyle w:val="Lijstalinea"/>
        <w:ind w:left="1440"/>
        <w:jc w:val="both"/>
        <w:rPr>
          <w:rFonts w:ascii="Times New Roman" w:hAnsi="Times New Roman"/>
          <w:kern w:val="1"/>
          <w:sz w:val="24"/>
          <w:szCs w:val="24"/>
        </w:rPr>
      </w:pPr>
    </w:p>
    <w:p w14:paraId="4A3F51E4" w14:textId="10D3BB0C" w:rsidR="00B20DB0" w:rsidRDefault="00B20DB0" w:rsidP="00087269">
      <w:pPr>
        <w:pStyle w:val="Lijstalinea"/>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392DB4E6" w:rsidR="00B20DB0" w:rsidRDefault="000B2784"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39C6B7F9" w14:textId="5967F20F" w:rsidR="00E218B5" w:rsidRDefault="004E6D81"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w:t>
      </w:r>
      <w:r w:rsidRPr="00612447">
        <w:rPr>
          <w:rFonts w:ascii="Times New Roman" w:hAnsi="Times New Roman"/>
          <w:kern w:val="1"/>
          <w:sz w:val="24"/>
          <w:szCs w:val="24"/>
          <w:highlight w:val="cyan"/>
        </w:rPr>
        <w:t>for youth workers</w:t>
      </w:r>
      <w:r>
        <w:rPr>
          <w:rFonts w:ascii="Times New Roman" w:hAnsi="Times New Roman"/>
          <w:kern w:val="1"/>
          <w:sz w:val="24"/>
          <w:szCs w:val="24"/>
        </w:rPr>
        <w:t xml:space="preserve">: </w:t>
      </w:r>
      <w:r w:rsidR="00E218B5" w:rsidRPr="00E218B5">
        <w:rPr>
          <w:rFonts w:ascii="Times New Roman" w:hAnsi="Times New Roman"/>
          <w:kern w:val="1"/>
          <w:sz w:val="24"/>
          <w:szCs w:val="24"/>
        </w:rPr>
        <w:t>Complementary activities for Youth Workers Mobility</w:t>
      </w:r>
      <w:r>
        <w:rPr>
          <w:rFonts w:ascii="Times New Roman" w:hAnsi="Times New Roman"/>
          <w:kern w:val="1"/>
          <w:sz w:val="24"/>
          <w:szCs w:val="24"/>
        </w:rPr>
        <w:t>]</w:t>
      </w:r>
    </w:p>
    <w:p w14:paraId="50F7C09D" w14:textId="77777777" w:rsidR="005C7C02" w:rsidRDefault="005C7C02" w:rsidP="00604941">
      <w:pPr>
        <w:pStyle w:val="Lijstalinea"/>
        <w:ind w:left="0"/>
        <w:jc w:val="both"/>
        <w:rPr>
          <w:rFonts w:ascii="Times New Roman" w:hAnsi="Times New Roman" w:cs="Times New Roman"/>
          <w:kern w:val="1"/>
          <w:sz w:val="24"/>
          <w:szCs w:val="24"/>
        </w:rPr>
      </w:pPr>
    </w:p>
    <w:p w14:paraId="4BA52273"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jstalinea"/>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jstalinea"/>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lastRenderedPageBreak/>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815376B"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5C560478" w:rsidR="00B20DB0" w:rsidRPr="00A031A7" w:rsidRDefault="00941252">
      <w:pPr>
        <w:jc w:val="both"/>
      </w:pPr>
      <w:r w:rsidDel="00941252">
        <w:rPr>
          <w:rFonts w:ascii="Times New Roman" w:eastAsia="SimSun" w:hAnsi="Times New Roman"/>
          <w:kern w:val="1"/>
          <w:sz w:val="24"/>
          <w:szCs w:val="24"/>
        </w:rPr>
        <w:t xml:space="preserve"> </w:t>
      </w:r>
      <w:r w:rsidR="00B20DB0" w:rsidRPr="00604941">
        <w:rPr>
          <w:rFonts w:ascii="Times New Roman" w:eastAsia="SimSun" w:hAnsi="Times New Roman"/>
          <w:kern w:val="1"/>
          <w:sz w:val="24"/>
          <w:szCs w:val="24"/>
          <w:shd w:val="clear" w:color="auto" w:fill="00FFFF"/>
        </w:rPr>
        <w:t>[</w:t>
      </w:r>
      <w:r w:rsidR="00992773">
        <w:rPr>
          <w:rFonts w:ascii="Times New Roman" w:eastAsia="SimSun" w:hAnsi="Times New Roman"/>
          <w:kern w:val="1"/>
          <w:sz w:val="24"/>
          <w:szCs w:val="24"/>
          <w:shd w:val="clear" w:color="auto" w:fill="00FFFF"/>
        </w:rPr>
        <w:t>For accredited beneficiaries</w:t>
      </w:r>
    </w:p>
    <w:p w14:paraId="115223A9" w14:textId="1F3460F7" w:rsidR="00B20DB0"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i/>
          <w:iCs/>
          <w:kern w:val="1"/>
          <w:sz w:val="24"/>
          <w:szCs w:val="24"/>
        </w:rPr>
        <w:t>System</w:t>
      </w:r>
      <w:r w:rsidR="008A2BE9" w:rsidRPr="004B5544">
        <w:rPr>
          <w:rFonts w:ascii="Times New Roman" w:eastAsia="SimSun" w:hAnsi="Times New Roman"/>
          <w:b/>
          <w:bCs/>
          <w:i/>
          <w:iCs/>
          <w:kern w:val="1"/>
          <w:sz w:val="24"/>
          <w:szCs w:val="24"/>
        </w:rPr>
        <w:t>s</w:t>
      </w:r>
      <w:r w:rsidRPr="004916AB">
        <w:rPr>
          <w:rFonts w:ascii="Times New Roman" w:eastAsia="SimSun" w:hAnsi="Times New Roman"/>
          <w:b/>
          <w:bCs/>
          <w:i/>
          <w:iCs/>
          <w:kern w:val="1"/>
          <w:sz w:val="24"/>
          <w:szCs w:val="24"/>
        </w:rPr>
        <w:t xml:space="preserve"> check</w:t>
      </w:r>
    </w:p>
    <w:p w14:paraId="4405FEAF" w14:textId="1E73D826"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7F0B0A">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C8AB6" w14:textId="77777777" w:rsidR="00A74E74" w:rsidRDefault="00A74E74">
      <w:pPr>
        <w:spacing w:after="0" w:line="240" w:lineRule="auto"/>
      </w:pPr>
      <w:r>
        <w:separator/>
      </w:r>
    </w:p>
  </w:endnote>
  <w:endnote w:type="continuationSeparator" w:id="0">
    <w:p w14:paraId="1E8A5EC0" w14:textId="77777777" w:rsidR="00A74E74" w:rsidRDefault="00A74E74">
      <w:pPr>
        <w:spacing w:after="0" w:line="240" w:lineRule="auto"/>
      </w:pPr>
      <w:r>
        <w:continuationSeparator/>
      </w:r>
    </w:p>
  </w:endnote>
  <w:endnote w:type="continuationNotice" w:id="1">
    <w:p w14:paraId="68E93A6A" w14:textId="77777777" w:rsidR="00A74E74" w:rsidRDefault="00A74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E14A8" w14:textId="1969E54C" w:rsidR="00A74E74" w:rsidRDefault="00A74E74">
    <w:pPr>
      <w:pStyle w:val="Voettekst"/>
      <w:jc w:val="right"/>
    </w:pPr>
    <w:r>
      <w:fldChar w:fldCharType="begin"/>
    </w:r>
    <w:r>
      <w:instrText xml:space="preserve"> PAGE   \* MERGEFORMAT </w:instrText>
    </w:r>
    <w:r>
      <w:fldChar w:fldCharType="separate"/>
    </w:r>
    <w:r w:rsidR="005A7BD6">
      <w:rPr>
        <w:noProof/>
      </w:rPr>
      <w:t>3</w:t>
    </w:r>
    <w:r>
      <w:rPr>
        <w:noProof/>
      </w:rPr>
      <w:fldChar w:fldCharType="end"/>
    </w:r>
  </w:p>
  <w:p w14:paraId="722B3104" w14:textId="77777777" w:rsidR="00A74E74" w:rsidRDefault="00A74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7621B" w14:textId="77777777" w:rsidR="00A74E74" w:rsidRDefault="00A74E74">
      <w:pPr>
        <w:spacing w:after="0" w:line="240" w:lineRule="auto"/>
      </w:pPr>
      <w:r>
        <w:separator/>
      </w:r>
    </w:p>
  </w:footnote>
  <w:footnote w:type="continuationSeparator" w:id="0">
    <w:p w14:paraId="5ECF95A4" w14:textId="77777777" w:rsidR="00A74E74" w:rsidRDefault="00A74E74">
      <w:pPr>
        <w:spacing w:after="0" w:line="240" w:lineRule="auto"/>
      </w:pPr>
      <w:r>
        <w:continuationSeparator/>
      </w:r>
    </w:p>
  </w:footnote>
  <w:footnote w:type="continuationNotice" w:id="1">
    <w:p w14:paraId="64983CC1" w14:textId="77777777" w:rsidR="00A74E74" w:rsidRDefault="00A74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35DD1" w14:textId="77777777" w:rsidR="00A74E74" w:rsidRDefault="00A74E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5"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3"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4"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6"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7"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8"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9"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5"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6"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7"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8"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0"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1"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2"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3"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4"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15"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1"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2"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5"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09"/>
  </w:num>
  <w:num w:numId="49">
    <w:abstractNumId w:val="119"/>
  </w:num>
  <w:num w:numId="50">
    <w:abstractNumId w:val="114"/>
  </w:num>
  <w:num w:numId="51">
    <w:abstractNumId w:val="78"/>
  </w:num>
  <w:num w:numId="52">
    <w:abstractNumId w:val="77"/>
  </w:num>
  <w:num w:numId="53">
    <w:abstractNumId w:val="97"/>
  </w:num>
  <w:num w:numId="54">
    <w:abstractNumId w:val="118"/>
  </w:num>
  <w:num w:numId="55">
    <w:abstractNumId w:val="88"/>
  </w:num>
  <w:num w:numId="56">
    <w:abstractNumId w:val="85"/>
  </w:num>
  <w:num w:numId="57">
    <w:abstractNumId w:val="95"/>
  </w:num>
  <w:num w:numId="58">
    <w:abstractNumId w:val="94"/>
  </w:num>
  <w:num w:numId="59">
    <w:abstractNumId w:val="110"/>
  </w:num>
  <w:num w:numId="60">
    <w:abstractNumId w:val="99"/>
  </w:num>
  <w:num w:numId="61">
    <w:abstractNumId w:val="100"/>
  </w:num>
  <w:num w:numId="62">
    <w:abstractNumId w:val="82"/>
  </w:num>
  <w:num w:numId="63">
    <w:abstractNumId w:val="107"/>
  </w:num>
  <w:num w:numId="64">
    <w:abstractNumId w:val="90"/>
  </w:num>
  <w:num w:numId="65">
    <w:abstractNumId w:val="124"/>
  </w:num>
  <w:num w:numId="66">
    <w:abstractNumId w:val="79"/>
  </w:num>
  <w:num w:numId="67">
    <w:abstractNumId w:val="86"/>
  </w:num>
  <w:num w:numId="68">
    <w:abstractNumId w:val="93"/>
  </w:num>
  <w:num w:numId="69">
    <w:abstractNumId w:val="113"/>
  </w:num>
  <w:num w:numId="70">
    <w:abstractNumId w:val="103"/>
  </w:num>
  <w:num w:numId="71">
    <w:abstractNumId w:val="76"/>
  </w:num>
  <w:num w:numId="72">
    <w:abstractNumId w:val="122"/>
  </w:num>
  <w:num w:numId="73">
    <w:abstractNumId w:val="91"/>
  </w:num>
  <w:num w:numId="74">
    <w:abstractNumId w:val="81"/>
  </w:num>
  <w:num w:numId="75">
    <w:abstractNumId w:val="83"/>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num>
  <w:num w:numId="106">
    <w:abstractNumId w:val="120"/>
  </w:num>
  <w:num w:numId="107">
    <w:abstractNumId w:val="104"/>
  </w:num>
  <w:num w:numId="108">
    <w:abstractNumId w:val="84"/>
  </w:num>
  <w:num w:numId="109">
    <w:abstractNumId w:val="92"/>
  </w:num>
  <w:num w:numId="110">
    <w:abstractNumId w:val="112"/>
  </w:num>
  <w:num w:numId="111">
    <w:abstractNumId w:val="121"/>
  </w:num>
  <w:num w:numId="112">
    <w:abstractNumId w:val="106"/>
  </w:num>
  <w:num w:numId="113">
    <w:abstractNumId w:val="126"/>
  </w:num>
  <w:num w:numId="114">
    <w:abstractNumId w:val="117"/>
  </w:num>
  <w:num w:numId="115">
    <w:abstractNumId w:val="98"/>
  </w:num>
  <w:num w:numId="116">
    <w:abstractNumId w:val="123"/>
  </w:num>
  <w:num w:numId="117">
    <w:abstractNumId w:val="115"/>
  </w:num>
  <w:num w:numId="118">
    <w:abstractNumId w:val="127"/>
  </w:num>
  <w:num w:numId="119">
    <w:abstractNumId w:val="87"/>
  </w:num>
  <w:num w:numId="120">
    <w:abstractNumId w:val="102"/>
  </w:num>
  <w:num w:numId="121">
    <w:abstractNumId w:val="116"/>
    <w:lvlOverride w:ilvl="0">
      <w:startOverride w:val="1"/>
    </w:lvlOverride>
    <w:lvlOverride w:ilvl="1"/>
    <w:lvlOverride w:ilvl="2"/>
    <w:lvlOverride w:ilvl="3"/>
    <w:lvlOverride w:ilvl="4"/>
    <w:lvlOverride w:ilvl="5"/>
    <w:lvlOverride w:ilvl="6"/>
    <w:lvlOverride w:ilvl="7"/>
    <w:lvlOverride w:ilvl="8"/>
  </w:num>
  <w:num w:numId="122">
    <w:abstractNumId w:val="89"/>
  </w:num>
  <w:num w:numId="123">
    <w:abstractNumId w:val="105"/>
  </w:num>
  <w:num w:numId="124">
    <w:abstractNumId w:val="108"/>
  </w:num>
  <w:num w:numId="125">
    <w:abstractNumId w:val="125"/>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1"/>
  </w:num>
  <w:num w:numId="135">
    <w:abstractNumId w:val="9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26C1"/>
    <w:rsid w:val="00005F12"/>
    <w:rsid w:val="000060F8"/>
    <w:rsid w:val="00006AD0"/>
    <w:rsid w:val="0001452D"/>
    <w:rsid w:val="00017DF7"/>
    <w:rsid w:val="00020397"/>
    <w:rsid w:val="0002203E"/>
    <w:rsid w:val="000249BF"/>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AF"/>
    <w:rsid w:val="000A1D92"/>
    <w:rsid w:val="000A4C04"/>
    <w:rsid w:val="000A532B"/>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5247"/>
    <w:rsid w:val="000F7888"/>
    <w:rsid w:val="00102774"/>
    <w:rsid w:val="00104707"/>
    <w:rsid w:val="001119CE"/>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651"/>
    <w:rsid w:val="00162C31"/>
    <w:rsid w:val="00164397"/>
    <w:rsid w:val="00166732"/>
    <w:rsid w:val="0016681C"/>
    <w:rsid w:val="001709BD"/>
    <w:rsid w:val="001733B6"/>
    <w:rsid w:val="00176835"/>
    <w:rsid w:val="00177C23"/>
    <w:rsid w:val="00183ABC"/>
    <w:rsid w:val="0018766A"/>
    <w:rsid w:val="0018773E"/>
    <w:rsid w:val="001909DD"/>
    <w:rsid w:val="00190B44"/>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B0D"/>
    <w:rsid w:val="001E18DD"/>
    <w:rsid w:val="001E1F91"/>
    <w:rsid w:val="001E590C"/>
    <w:rsid w:val="001E719D"/>
    <w:rsid w:val="001F006F"/>
    <w:rsid w:val="001F3AFF"/>
    <w:rsid w:val="001F48D5"/>
    <w:rsid w:val="001F5D9A"/>
    <w:rsid w:val="001F7F2A"/>
    <w:rsid w:val="0020179E"/>
    <w:rsid w:val="00202AA6"/>
    <w:rsid w:val="00202F1B"/>
    <w:rsid w:val="002038DD"/>
    <w:rsid w:val="002040F1"/>
    <w:rsid w:val="00210322"/>
    <w:rsid w:val="002113E9"/>
    <w:rsid w:val="002119F8"/>
    <w:rsid w:val="002139FC"/>
    <w:rsid w:val="00222850"/>
    <w:rsid w:val="00224037"/>
    <w:rsid w:val="002254E0"/>
    <w:rsid w:val="002255D3"/>
    <w:rsid w:val="00235EB7"/>
    <w:rsid w:val="00236437"/>
    <w:rsid w:val="00241903"/>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45C6"/>
    <w:rsid w:val="002B2F36"/>
    <w:rsid w:val="002C0B9E"/>
    <w:rsid w:val="002C43EE"/>
    <w:rsid w:val="002D008B"/>
    <w:rsid w:val="002D2667"/>
    <w:rsid w:val="002E194B"/>
    <w:rsid w:val="002E530D"/>
    <w:rsid w:val="002E615B"/>
    <w:rsid w:val="002E6ED6"/>
    <w:rsid w:val="002E7974"/>
    <w:rsid w:val="002F1507"/>
    <w:rsid w:val="002F16C2"/>
    <w:rsid w:val="00302C69"/>
    <w:rsid w:val="00303A2C"/>
    <w:rsid w:val="00304E35"/>
    <w:rsid w:val="00307FC5"/>
    <w:rsid w:val="00312D01"/>
    <w:rsid w:val="00316CAA"/>
    <w:rsid w:val="003225B1"/>
    <w:rsid w:val="00323E2F"/>
    <w:rsid w:val="00325E99"/>
    <w:rsid w:val="00334028"/>
    <w:rsid w:val="00336BED"/>
    <w:rsid w:val="003420B9"/>
    <w:rsid w:val="0034318F"/>
    <w:rsid w:val="0035116B"/>
    <w:rsid w:val="003517F4"/>
    <w:rsid w:val="00355477"/>
    <w:rsid w:val="003625B0"/>
    <w:rsid w:val="00363DE0"/>
    <w:rsid w:val="00365A26"/>
    <w:rsid w:val="00365AB5"/>
    <w:rsid w:val="00367C21"/>
    <w:rsid w:val="00373203"/>
    <w:rsid w:val="003748CE"/>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528D"/>
    <w:rsid w:val="003D0103"/>
    <w:rsid w:val="003D0496"/>
    <w:rsid w:val="003D2CD1"/>
    <w:rsid w:val="003D6456"/>
    <w:rsid w:val="003D7423"/>
    <w:rsid w:val="003E5CA2"/>
    <w:rsid w:val="003F0080"/>
    <w:rsid w:val="003F1B15"/>
    <w:rsid w:val="003F2959"/>
    <w:rsid w:val="003F3E77"/>
    <w:rsid w:val="003F3FD8"/>
    <w:rsid w:val="003F5C34"/>
    <w:rsid w:val="003F7C20"/>
    <w:rsid w:val="004004F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9C6"/>
    <w:rsid w:val="00442F56"/>
    <w:rsid w:val="00455E3E"/>
    <w:rsid w:val="00461474"/>
    <w:rsid w:val="0046161A"/>
    <w:rsid w:val="00467701"/>
    <w:rsid w:val="004718FC"/>
    <w:rsid w:val="00474780"/>
    <w:rsid w:val="0047668B"/>
    <w:rsid w:val="004826F9"/>
    <w:rsid w:val="004839FE"/>
    <w:rsid w:val="00483C8B"/>
    <w:rsid w:val="00484885"/>
    <w:rsid w:val="0048672D"/>
    <w:rsid w:val="004916AB"/>
    <w:rsid w:val="00492F31"/>
    <w:rsid w:val="00497D7D"/>
    <w:rsid w:val="004A2024"/>
    <w:rsid w:val="004A263A"/>
    <w:rsid w:val="004A2F04"/>
    <w:rsid w:val="004A577C"/>
    <w:rsid w:val="004B0E8E"/>
    <w:rsid w:val="004B15F4"/>
    <w:rsid w:val="004B2A0A"/>
    <w:rsid w:val="004B4798"/>
    <w:rsid w:val="004B5544"/>
    <w:rsid w:val="004B5865"/>
    <w:rsid w:val="004B5E2B"/>
    <w:rsid w:val="004C0037"/>
    <w:rsid w:val="004C1D26"/>
    <w:rsid w:val="004C30C5"/>
    <w:rsid w:val="004C324A"/>
    <w:rsid w:val="004C36E4"/>
    <w:rsid w:val="004C377C"/>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C50"/>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600A0"/>
    <w:rsid w:val="00560563"/>
    <w:rsid w:val="00560F5F"/>
    <w:rsid w:val="00562398"/>
    <w:rsid w:val="005632CD"/>
    <w:rsid w:val="005658E0"/>
    <w:rsid w:val="00567533"/>
    <w:rsid w:val="005753DD"/>
    <w:rsid w:val="0058250E"/>
    <w:rsid w:val="00582CC8"/>
    <w:rsid w:val="00582F6C"/>
    <w:rsid w:val="005836C2"/>
    <w:rsid w:val="00584E7F"/>
    <w:rsid w:val="00586A4A"/>
    <w:rsid w:val="00586BDE"/>
    <w:rsid w:val="00590721"/>
    <w:rsid w:val="00590CBE"/>
    <w:rsid w:val="00597A80"/>
    <w:rsid w:val="005A0348"/>
    <w:rsid w:val="005A4C4D"/>
    <w:rsid w:val="005A6075"/>
    <w:rsid w:val="005A7276"/>
    <w:rsid w:val="005A7BD6"/>
    <w:rsid w:val="005B07B3"/>
    <w:rsid w:val="005B37E7"/>
    <w:rsid w:val="005B40C6"/>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97C"/>
    <w:rsid w:val="00610CC7"/>
    <w:rsid w:val="00612447"/>
    <w:rsid w:val="00612D82"/>
    <w:rsid w:val="00615D39"/>
    <w:rsid w:val="006228FF"/>
    <w:rsid w:val="00622B30"/>
    <w:rsid w:val="00622D23"/>
    <w:rsid w:val="0062612F"/>
    <w:rsid w:val="00626300"/>
    <w:rsid w:val="00626314"/>
    <w:rsid w:val="0063172D"/>
    <w:rsid w:val="00631B50"/>
    <w:rsid w:val="0063653F"/>
    <w:rsid w:val="00637C67"/>
    <w:rsid w:val="00641B20"/>
    <w:rsid w:val="00642185"/>
    <w:rsid w:val="006427D5"/>
    <w:rsid w:val="006428F0"/>
    <w:rsid w:val="0064329E"/>
    <w:rsid w:val="00644E0C"/>
    <w:rsid w:val="006557FD"/>
    <w:rsid w:val="00655990"/>
    <w:rsid w:val="00660719"/>
    <w:rsid w:val="00662BD9"/>
    <w:rsid w:val="00665B24"/>
    <w:rsid w:val="006674E0"/>
    <w:rsid w:val="006721E6"/>
    <w:rsid w:val="00673234"/>
    <w:rsid w:val="00675BF9"/>
    <w:rsid w:val="00676D11"/>
    <w:rsid w:val="006770A0"/>
    <w:rsid w:val="00677B0E"/>
    <w:rsid w:val="006806A3"/>
    <w:rsid w:val="00682500"/>
    <w:rsid w:val="0068762E"/>
    <w:rsid w:val="00696C0B"/>
    <w:rsid w:val="006A06B8"/>
    <w:rsid w:val="006A1E1F"/>
    <w:rsid w:val="006A5591"/>
    <w:rsid w:val="006A56EE"/>
    <w:rsid w:val="006B0483"/>
    <w:rsid w:val="006B2C60"/>
    <w:rsid w:val="006B383D"/>
    <w:rsid w:val="006B67DE"/>
    <w:rsid w:val="006C00DE"/>
    <w:rsid w:val="006C118A"/>
    <w:rsid w:val="006C25AE"/>
    <w:rsid w:val="006C40D4"/>
    <w:rsid w:val="006C581F"/>
    <w:rsid w:val="006C5E53"/>
    <w:rsid w:val="006C651B"/>
    <w:rsid w:val="006C6809"/>
    <w:rsid w:val="006D050B"/>
    <w:rsid w:val="006D2255"/>
    <w:rsid w:val="006D35CB"/>
    <w:rsid w:val="006D3747"/>
    <w:rsid w:val="006D445E"/>
    <w:rsid w:val="006D6FED"/>
    <w:rsid w:val="006E022E"/>
    <w:rsid w:val="006E0D1A"/>
    <w:rsid w:val="006E1483"/>
    <w:rsid w:val="006E1943"/>
    <w:rsid w:val="006E359E"/>
    <w:rsid w:val="006E416B"/>
    <w:rsid w:val="006E47BA"/>
    <w:rsid w:val="006F16D6"/>
    <w:rsid w:val="006F3B5E"/>
    <w:rsid w:val="006F61C7"/>
    <w:rsid w:val="006F6918"/>
    <w:rsid w:val="006F6F83"/>
    <w:rsid w:val="007072E0"/>
    <w:rsid w:val="00710742"/>
    <w:rsid w:val="00717AED"/>
    <w:rsid w:val="007211AC"/>
    <w:rsid w:val="00723FCC"/>
    <w:rsid w:val="00725233"/>
    <w:rsid w:val="007259FE"/>
    <w:rsid w:val="00726203"/>
    <w:rsid w:val="00730027"/>
    <w:rsid w:val="00735AA0"/>
    <w:rsid w:val="0073609B"/>
    <w:rsid w:val="007366F9"/>
    <w:rsid w:val="007372F3"/>
    <w:rsid w:val="00737335"/>
    <w:rsid w:val="00745469"/>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90A60"/>
    <w:rsid w:val="00794FDD"/>
    <w:rsid w:val="00795EEB"/>
    <w:rsid w:val="00796E84"/>
    <w:rsid w:val="0079766B"/>
    <w:rsid w:val="007A09F8"/>
    <w:rsid w:val="007A2425"/>
    <w:rsid w:val="007A2854"/>
    <w:rsid w:val="007A2A40"/>
    <w:rsid w:val="007B06A1"/>
    <w:rsid w:val="007B11CE"/>
    <w:rsid w:val="007B2ECD"/>
    <w:rsid w:val="007B3B17"/>
    <w:rsid w:val="007B6CAB"/>
    <w:rsid w:val="007C43B3"/>
    <w:rsid w:val="007C77A3"/>
    <w:rsid w:val="007D08FA"/>
    <w:rsid w:val="007D377A"/>
    <w:rsid w:val="007D4C3C"/>
    <w:rsid w:val="007D5954"/>
    <w:rsid w:val="007D71C9"/>
    <w:rsid w:val="007E3218"/>
    <w:rsid w:val="007E41D2"/>
    <w:rsid w:val="007E6435"/>
    <w:rsid w:val="007E7CED"/>
    <w:rsid w:val="007F00EB"/>
    <w:rsid w:val="007F0B0A"/>
    <w:rsid w:val="007F58B3"/>
    <w:rsid w:val="007F6426"/>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CFB"/>
    <w:rsid w:val="00870D54"/>
    <w:rsid w:val="0087139B"/>
    <w:rsid w:val="0087417F"/>
    <w:rsid w:val="00874978"/>
    <w:rsid w:val="00887C3A"/>
    <w:rsid w:val="00894153"/>
    <w:rsid w:val="00894DE0"/>
    <w:rsid w:val="008A1067"/>
    <w:rsid w:val="008A2BE9"/>
    <w:rsid w:val="008A4457"/>
    <w:rsid w:val="008A7E09"/>
    <w:rsid w:val="008B40EF"/>
    <w:rsid w:val="008B5B11"/>
    <w:rsid w:val="008C0341"/>
    <w:rsid w:val="008C197E"/>
    <w:rsid w:val="008C1C1F"/>
    <w:rsid w:val="008C2637"/>
    <w:rsid w:val="008C48CE"/>
    <w:rsid w:val="008D0CEF"/>
    <w:rsid w:val="008D27DD"/>
    <w:rsid w:val="008D2F2C"/>
    <w:rsid w:val="008D55F5"/>
    <w:rsid w:val="008E5A9D"/>
    <w:rsid w:val="008E7D42"/>
    <w:rsid w:val="008F0602"/>
    <w:rsid w:val="008F0654"/>
    <w:rsid w:val="008F615B"/>
    <w:rsid w:val="00901C92"/>
    <w:rsid w:val="00903F70"/>
    <w:rsid w:val="00905D28"/>
    <w:rsid w:val="00912FF9"/>
    <w:rsid w:val="00914AF7"/>
    <w:rsid w:val="00923AB8"/>
    <w:rsid w:val="00927805"/>
    <w:rsid w:val="00927A00"/>
    <w:rsid w:val="00930D72"/>
    <w:rsid w:val="00934766"/>
    <w:rsid w:val="00940F80"/>
    <w:rsid w:val="00941252"/>
    <w:rsid w:val="0094138C"/>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B1308"/>
    <w:rsid w:val="009B46E1"/>
    <w:rsid w:val="009B4CBF"/>
    <w:rsid w:val="009B5BDF"/>
    <w:rsid w:val="009B6A57"/>
    <w:rsid w:val="009B7789"/>
    <w:rsid w:val="009C3CAE"/>
    <w:rsid w:val="009C582D"/>
    <w:rsid w:val="009C60F6"/>
    <w:rsid w:val="009D3D44"/>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2D67"/>
    <w:rsid w:val="00A031A7"/>
    <w:rsid w:val="00A04725"/>
    <w:rsid w:val="00A04D55"/>
    <w:rsid w:val="00A06258"/>
    <w:rsid w:val="00A07E45"/>
    <w:rsid w:val="00A11FCF"/>
    <w:rsid w:val="00A12BCD"/>
    <w:rsid w:val="00A3280F"/>
    <w:rsid w:val="00A32EF1"/>
    <w:rsid w:val="00A32F92"/>
    <w:rsid w:val="00A3407C"/>
    <w:rsid w:val="00A34B6F"/>
    <w:rsid w:val="00A36220"/>
    <w:rsid w:val="00A36864"/>
    <w:rsid w:val="00A400B6"/>
    <w:rsid w:val="00A42B1F"/>
    <w:rsid w:val="00A432D5"/>
    <w:rsid w:val="00A436BB"/>
    <w:rsid w:val="00A4458A"/>
    <w:rsid w:val="00A47479"/>
    <w:rsid w:val="00A50A22"/>
    <w:rsid w:val="00A516D7"/>
    <w:rsid w:val="00A517F2"/>
    <w:rsid w:val="00A51D28"/>
    <w:rsid w:val="00A53573"/>
    <w:rsid w:val="00A54CC4"/>
    <w:rsid w:val="00A554AA"/>
    <w:rsid w:val="00A565C7"/>
    <w:rsid w:val="00A6498D"/>
    <w:rsid w:val="00A6782D"/>
    <w:rsid w:val="00A706BD"/>
    <w:rsid w:val="00A71C21"/>
    <w:rsid w:val="00A72817"/>
    <w:rsid w:val="00A74E74"/>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B0D43"/>
    <w:rsid w:val="00AB0FBA"/>
    <w:rsid w:val="00AB49C7"/>
    <w:rsid w:val="00AB6359"/>
    <w:rsid w:val="00AC55A5"/>
    <w:rsid w:val="00AD5548"/>
    <w:rsid w:val="00AD5FB8"/>
    <w:rsid w:val="00AD7199"/>
    <w:rsid w:val="00AD7433"/>
    <w:rsid w:val="00AE2062"/>
    <w:rsid w:val="00AE4EA8"/>
    <w:rsid w:val="00AF0339"/>
    <w:rsid w:val="00AF5ABC"/>
    <w:rsid w:val="00B01B6B"/>
    <w:rsid w:val="00B0214D"/>
    <w:rsid w:val="00B02EC3"/>
    <w:rsid w:val="00B033CB"/>
    <w:rsid w:val="00B0413B"/>
    <w:rsid w:val="00B054F9"/>
    <w:rsid w:val="00B055D7"/>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78BC"/>
    <w:rsid w:val="00B57C0A"/>
    <w:rsid w:val="00B60845"/>
    <w:rsid w:val="00B60C15"/>
    <w:rsid w:val="00B63B1F"/>
    <w:rsid w:val="00B63C67"/>
    <w:rsid w:val="00B6477A"/>
    <w:rsid w:val="00B81759"/>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4F0E"/>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10939"/>
    <w:rsid w:val="00C13563"/>
    <w:rsid w:val="00C13818"/>
    <w:rsid w:val="00C1456E"/>
    <w:rsid w:val="00C15BDD"/>
    <w:rsid w:val="00C2365C"/>
    <w:rsid w:val="00C263FB"/>
    <w:rsid w:val="00C31827"/>
    <w:rsid w:val="00C3533A"/>
    <w:rsid w:val="00C37981"/>
    <w:rsid w:val="00C40D06"/>
    <w:rsid w:val="00C413F5"/>
    <w:rsid w:val="00C4337C"/>
    <w:rsid w:val="00C44A8A"/>
    <w:rsid w:val="00C454E8"/>
    <w:rsid w:val="00C51EB9"/>
    <w:rsid w:val="00C52386"/>
    <w:rsid w:val="00C53799"/>
    <w:rsid w:val="00C55F20"/>
    <w:rsid w:val="00C57441"/>
    <w:rsid w:val="00C578FC"/>
    <w:rsid w:val="00C57B6A"/>
    <w:rsid w:val="00C6243A"/>
    <w:rsid w:val="00C65D10"/>
    <w:rsid w:val="00C67D07"/>
    <w:rsid w:val="00C74088"/>
    <w:rsid w:val="00C74C94"/>
    <w:rsid w:val="00C772F2"/>
    <w:rsid w:val="00C81CCC"/>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F3AA1"/>
    <w:rsid w:val="00CF3FD9"/>
    <w:rsid w:val="00CF63B4"/>
    <w:rsid w:val="00D01045"/>
    <w:rsid w:val="00D027C0"/>
    <w:rsid w:val="00D041AD"/>
    <w:rsid w:val="00D04BB5"/>
    <w:rsid w:val="00D14103"/>
    <w:rsid w:val="00D14B79"/>
    <w:rsid w:val="00D175A2"/>
    <w:rsid w:val="00D205D9"/>
    <w:rsid w:val="00D25EBB"/>
    <w:rsid w:val="00D27D48"/>
    <w:rsid w:val="00D31811"/>
    <w:rsid w:val="00D320B0"/>
    <w:rsid w:val="00D3565E"/>
    <w:rsid w:val="00D370B8"/>
    <w:rsid w:val="00D415D1"/>
    <w:rsid w:val="00D43C48"/>
    <w:rsid w:val="00D62479"/>
    <w:rsid w:val="00D633BF"/>
    <w:rsid w:val="00D64673"/>
    <w:rsid w:val="00D71248"/>
    <w:rsid w:val="00D71BD6"/>
    <w:rsid w:val="00D764C9"/>
    <w:rsid w:val="00D77DD7"/>
    <w:rsid w:val="00D850F9"/>
    <w:rsid w:val="00D86A4D"/>
    <w:rsid w:val="00D86D41"/>
    <w:rsid w:val="00D9146E"/>
    <w:rsid w:val="00D91797"/>
    <w:rsid w:val="00D93563"/>
    <w:rsid w:val="00D93C04"/>
    <w:rsid w:val="00DA12F7"/>
    <w:rsid w:val="00DA1E69"/>
    <w:rsid w:val="00DA2C13"/>
    <w:rsid w:val="00DA3609"/>
    <w:rsid w:val="00DA4957"/>
    <w:rsid w:val="00DB349E"/>
    <w:rsid w:val="00DB3D84"/>
    <w:rsid w:val="00DC559D"/>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3F0A"/>
    <w:rsid w:val="00E412EB"/>
    <w:rsid w:val="00E42EF0"/>
    <w:rsid w:val="00E44844"/>
    <w:rsid w:val="00E46BE5"/>
    <w:rsid w:val="00E50FB2"/>
    <w:rsid w:val="00E57E45"/>
    <w:rsid w:val="00E66DE7"/>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B0B"/>
    <w:rsid w:val="00ED098E"/>
    <w:rsid w:val="00ED2B02"/>
    <w:rsid w:val="00ED4C26"/>
    <w:rsid w:val="00ED73CD"/>
    <w:rsid w:val="00ED7A65"/>
    <w:rsid w:val="00EE0EE1"/>
    <w:rsid w:val="00EE3228"/>
    <w:rsid w:val="00EE3C36"/>
    <w:rsid w:val="00EE4410"/>
    <w:rsid w:val="00EE6A8C"/>
    <w:rsid w:val="00EE6D44"/>
    <w:rsid w:val="00EF0A80"/>
    <w:rsid w:val="00EF3196"/>
    <w:rsid w:val="00EF5F9E"/>
    <w:rsid w:val="00F01C29"/>
    <w:rsid w:val="00F1013A"/>
    <w:rsid w:val="00F1062C"/>
    <w:rsid w:val="00F114A2"/>
    <w:rsid w:val="00F11E0A"/>
    <w:rsid w:val="00F123C0"/>
    <w:rsid w:val="00F1246A"/>
    <w:rsid w:val="00F14454"/>
    <w:rsid w:val="00F2376B"/>
    <w:rsid w:val="00F242E4"/>
    <w:rsid w:val="00F24E02"/>
    <w:rsid w:val="00F30559"/>
    <w:rsid w:val="00F3300A"/>
    <w:rsid w:val="00F34AE8"/>
    <w:rsid w:val="00F36EF6"/>
    <w:rsid w:val="00F46020"/>
    <w:rsid w:val="00F51B7B"/>
    <w:rsid w:val="00F51DF0"/>
    <w:rsid w:val="00F5288A"/>
    <w:rsid w:val="00F55738"/>
    <w:rsid w:val="00F55A5C"/>
    <w:rsid w:val="00F62E27"/>
    <w:rsid w:val="00F65312"/>
    <w:rsid w:val="00F7344E"/>
    <w:rsid w:val="00F87693"/>
    <w:rsid w:val="00F919A4"/>
    <w:rsid w:val="00F94446"/>
    <w:rsid w:val="00F97569"/>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CF8"/>
    <w:rsid w:val="00FC1E70"/>
    <w:rsid w:val="00FC202D"/>
    <w:rsid w:val="00FC5CB7"/>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612F"/>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62612F"/>
    <w:pPr>
      <w:keepNext/>
      <w:keepLines/>
      <w:numPr>
        <w:numId w:val="1"/>
      </w:numPr>
      <w:spacing w:before="480" w:after="0"/>
      <w:outlineLvl w:val="0"/>
    </w:pPr>
    <w:rPr>
      <w:rFonts w:ascii="Times New Roman" w:hAnsi="Times New Roman"/>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link w:val="Lijstopsomteken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D3565E"/>
    <w:rPr>
      <w:sz w:val="16"/>
      <w:szCs w:val="16"/>
    </w:rPr>
  </w:style>
  <w:style w:type="paragraph" w:styleId="Tekstopmerking">
    <w:name w:val="annotation text"/>
    <w:basedOn w:val="Standaard"/>
    <w:link w:val="TekstopmerkingChar"/>
    <w:uiPriority w:val="99"/>
    <w:unhideWhenUsed/>
    <w:rsid w:val="00D3565E"/>
    <w:rPr>
      <w:sz w:val="20"/>
      <w:szCs w:val="20"/>
    </w:rPr>
  </w:style>
  <w:style w:type="character" w:customStyle="1" w:styleId="TekstopmerkingChar">
    <w:name w:val="Tekst opmerking Char"/>
    <w:link w:val="Tekstopmerking"/>
    <w:uiPriority w:val="99"/>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 w:type="paragraph" w:styleId="Kopvaninhoudsopgave">
    <w:name w:val="TOC Heading"/>
    <w:basedOn w:val="Kop1"/>
    <w:next w:val="Standaard"/>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
    <w:name w:val="Heading1"/>
    <w:basedOn w:val="Lijstopsomteken"/>
    <w:link w:val="Heading1Char0"/>
    <w:qFormat/>
    <w:rsid w:val="00E218B5"/>
    <w:rPr>
      <w:b/>
      <w:bCs/>
      <w:lang w:val="en-US"/>
    </w:rPr>
  </w:style>
  <w:style w:type="paragraph" w:customStyle="1" w:styleId="Heading21">
    <w:name w:val="Heading 21"/>
    <w:basedOn w:val="Heading1"/>
    <w:link w:val="Heading2Char"/>
    <w:qFormat/>
    <w:rsid w:val="00E218B5"/>
  </w:style>
  <w:style w:type="character" w:customStyle="1" w:styleId="LijstopsomtekenChar">
    <w:name w:val="Lijst opsom.teken Char"/>
    <w:basedOn w:val="Standaardalinea-lettertype"/>
    <w:link w:val="Lijstopsomteken"/>
    <w:rsid w:val="00E218B5"/>
    <w:rPr>
      <w:sz w:val="24"/>
      <w:lang w:eastAsia="ar-SA"/>
    </w:rPr>
  </w:style>
  <w:style w:type="character" w:customStyle="1" w:styleId="Heading1Char0">
    <w:name w:val="Heading1 Char"/>
    <w:basedOn w:val="LijstopsomtekenChar"/>
    <w:link w:val="Heading1"/>
    <w:rsid w:val="00E218B5"/>
    <w:rPr>
      <w:b/>
      <w:bCs/>
      <w:sz w:val="24"/>
      <w:lang w:val="en-US" w:eastAsia="ar-SA"/>
    </w:rPr>
  </w:style>
  <w:style w:type="character" w:customStyle="1" w:styleId="Kop1Char">
    <w:name w:val="Kop 1 Char"/>
    <w:basedOn w:val="Standaardalinea-lettertype"/>
    <w:link w:val="Kop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Geenafstand">
    <w:name w:val="No Spacing"/>
    <w:uiPriority w:val="1"/>
    <w:qFormat/>
    <w:rsid w:val="0062612F"/>
    <w:pPr>
      <w:suppressAutoHyphens/>
    </w:pPr>
    <w:rPr>
      <w:rFonts w:ascii="Calibri" w:eastAsia="Calibri" w:hAnsi="Calibri"/>
      <w:sz w:val="22"/>
      <w:szCs w:val="22"/>
      <w:lang w:eastAsia="ar-SA"/>
    </w:rPr>
  </w:style>
  <w:style w:type="character" w:customStyle="1" w:styleId="LijstalineaChar">
    <w:name w:val="Lijstalinea Char"/>
    <w:basedOn w:val="Standaardalinea-lettertype"/>
    <w:link w:val="Lijstalinea"/>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2" ma:contentTypeDescription="Create a new document." ma:contentTypeScope="" ma:versionID="e7058ef57ff79f72c66e4ad4ef4fb45e">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53c2c813871a447e43c0bb8a171d1eb7"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3F66-FC31-40D9-A070-AED30503A8BE}"/>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D68D77DA-6AD9-4A67-80F9-6739CCA0BCB0}">
  <ds:schemaRefs>
    <ds:schemaRef ds:uri="http://purl.org/dc/elements/1.1/"/>
    <ds:schemaRef ds:uri="http://schemas.microsoft.com/office/2006/metadata/properties"/>
    <ds:schemaRef ds:uri="http://purl.org/dc/term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C453114-AFB6-446F-BDE4-10D755C3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3628</Words>
  <Characters>19959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Visser, Karin</cp:lastModifiedBy>
  <cp:revision>2</cp:revision>
  <cp:lastPrinted>2019-12-10T09:09:00Z</cp:lastPrinted>
  <dcterms:created xsi:type="dcterms:W3CDTF">2021-07-09T09:15:00Z</dcterms:created>
  <dcterms:modified xsi:type="dcterms:W3CDTF">2021-07-09T09:15:00Z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0x010100C003D2B8CD5C8C4FA07974CBBB92928A</vt:lpwstr>
  </property>
</Properties>
</file>