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04D3" w14:textId="77777777"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6BA04D5" w14:textId="77777777" w:rsidR="00F16BF1" w:rsidRPr="00D5640D" w:rsidRDefault="00F16BF1" w:rsidP="00FA3EEE">
      <w:pPr>
        <w:jc w:val="both"/>
        <w:rPr>
          <w:lang w:val="en-GB"/>
        </w:rPr>
      </w:pPr>
      <w:r w:rsidRPr="00D5640D">
        <w:rPr>
          <w:highlight w:val="cyan"/>
          <w:lang w:val="en-GB"/>
        </w:rPr>
        <w:t>[This template can be adapted by the N</w:t>
      </w:r>
      <w:r w:rsidR="000458F1">
        <w:rPr>
          <w:highlight w:val="cyan"/>
          <w:lang w:val="en-GB"/>
        </w:rPr>
        <w:t xml:space="preserve">ational </w:t>
      </w:r>
      <w:r w:rsidRPr="00D5640D">
        <w:rPr>
          <w:highlight w:val="cyan"/>
          <w:lang w:val="en-GB"/>
        </w:rPr>
        <w:t>A</w:t>
      </w:r>
      <w:r w:rsidR="000458F1">
        <w:rPr>
          <w:highlight w:val="cyan"/>
          <w:lang w:val="en-GB"/>
        </w:rPr>
        <w:t>gency</w:t>
      </w:r>
      <w:r w:rsidR="00C37844">
        <w:rPr>
          <w:highlight w:val="cyan"/>
          <w:lang w:val="en-GB"/>
        </w:rPr>
        <w:t xml:space="preserve"> (NA)</w:t>
      </w:r>
      <w:r w:rsidRPr="00D5640D">
        <w:rPr>
          <w:highlight w:val="cyan"/>
          <w:lang w:val="en-GB"/>
        </w:rPr>
        <w:t xml:space="preserve"> or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NAs/HEIs that should be deleted; yellow code: NA/HEI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77777777" w:rsidR="006C10E8" w:rsidRPr="00D5640D" w:rsidRDefault="002A1633" w:rsidP="00D5640D">
      <w:pPr>
        <w:jc w:val="both"/>
        <w:rPr>
          <w:b/>
          <w:lang w:val="en-GB"/>
        </w:rPr>
      </w:pPr>
      <w:r>
        <w:rPr>
          <w:highlight w:val="cyan"/>
          <w:lang w:val="en-GB"/>
        </w:rPr>
        <w:t>When the Institution  uses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4BF6DBD1"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bookmarkStart w:id="0" w:name="_GoBack"/>
      <w:bookmarkEnd w:id="0"/>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14:paraId="16BA050F" w14:textId="77777777"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r w:rsidR="00B90021">
        <w:rPr>
          <w:highlight w:val="cyan"/>
          <w:lang w:val="en-GB"/>
        </w:rPr>
        <w:t>for</w:t>
      </w:r>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536A1B8E"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w:t>
      </w:r>
      <w:r w:rsidR="00B618F9" w:rsidRPr="00B618F9">
        <w:rPr>
          <w:lang w:val="en-GB"/>
        </w:rPr>
        <w:lastRenderedPageBreak/>
        <w:t xml:space="preserve">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356336EA"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sidRPr="009D73A7">
        <w:rPr>
          <w:highlight w:val="cyan"/>
          <w:lang w:val="en-GB"/>
        </w:rPr>
        <w:t xml:space="preserve"> </w:t>
      </w:r>
      <w:r w:rsidR="00DC60CF">
        <w:rPr>
          <w:highlight w:val="cyan"/>
          <w:lang w:val="en-GB"/>
        </w:rPr>
        <w:t xml:space="preserve">, </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14:paraId="16BA051A" w14:textId="77777777"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do(es)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14:paraId="16BA051B" w14:textId="77777777"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45AE8694"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 xml:space="preserve">[The </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3C0D47A7"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Agreement is governed by</w:t>
      </w:r>
      <w:r w:rsidR="00895864">
        <w:rPr>
          <w:lang w:val="en-GB"/>
        </w:rPr>
        <w:t xml:space="preserve"> Dutch Law.</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52D20F39"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w:t>
      </w:r>
      <w:r w:rsidR="00FA6778">
        <w:rPr>
          <w:sz w:val="18"/>
          <w:szCs w:val="18"/>
          <w:lang w:val="en-GB"/>
        </w:rPr>
        <w:t xml:space="preserve"> the Netherlands</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of</w:t>
      </w:r>
      <w:r w:rsidR="00FA6778">
        <w:rPr>
          <w:sz w:val="18"/>
          <w:szCs w:val="18"/>
          <w:lang w:val="en-GB"/>
        </w:rPr>
        <w:t xml:space="preserve"> the Netherlands</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w:t>
      </w:r>
      <w:r w:rsidRPr="00FE149C">
        <w:rPr>
          <w:sz w:val="18"/>
          <w:szCs w:val="18"/>
          <w:lang w:val="en-GB"/>
        </w:rPr>
        <w:t xml:space="preserve">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0C8108EF"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of</w:t>
      </w:r>
      <w:r w:rsidR="00FA6778">
        <w:rPr>
          <w:sz w:val="18"/>
          <w:szCs w:val="18"/>
          <w:lang w:val="en-GB"/>
        </w:rPr>
        <w:t xml:space="preserve"> the Netherlands</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FA6778">
        <w:rPr>
          <w:sz w:val="18"/>
          <w:szCs w:val="18"/>
          <w:lang w:val="en-GB"/>
        </w:rPr>
        <w:t xml:space="preserve"> the Netherlands</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8" w14:textId="77777777" w:rsidR="00713DA1" w:rsidRDefault="00713DA1">
    <w:pPr>
      <w:pStyle w:val="Voettekst"/>
      <w:framePr w:wrap="around" w:vAnchor="text" w:hAnchor="margin" w:xAlign="right" w:y="1"/>
      <w:rPr>
        <w:rStyle w:val="Paginanummer"/>
        <w:szCs w:val="24"/>
      </w:rPr>
    </w:pPr>
    <w:r>
      <w:rPr>
        <w:rStyle w:val="Paginanummer"/>
        <w:szCs w:val="24"/>
      </w:rPr>
      <w:fldChar w:fldCharType="begin"/>
    </w:r>
    <w:r w:rsidR="00A96D5F">
      <w:rPr>
        <w:rStyle w:val="Paginanummer"/>
        <w:szCs w:val="24"/>
      </w:rPr>
      <w:instrText>PAGE</w:instrText>
    </w:r>
    <w:r>
      <w:rPr>
        <w:rStyle w:val="Paginanummer"/>
        <w:szCs w:val="24"/>
      </w:rPr>
      <w:instrText xml:space="preserve">  </w:instrText>
    </w:r>
    <w:r>
      <w:rPr>
        <w:rStyle w:val="Paginanummer"/>
        <w:szCs w:val="24"/>
      </w:rPr>
      <w:fldChar w:fldCharType="separate"/>
    </w:r>
    <w:r>
      <w:rPr>
        <w:rStyle w:val="Paginanummer"/>
        <w:noProof/>
        <w:szCs w:val="24"/>
      </w:rPr>
      <w:t>1</w:t>
    </w:r>
    <w:r>
      <w:rPr>
        <w:rStyle w:val="Paginanummer"/>
        <w:szCs w:val="24"/>
      </w:rPr>
      <w:fldChar w:fldCharType="end"/>
    </w:r>
  </w:p>
  <w:p w14:paraId="16BA0569" w14:textId="77777777" w:rsidR="00713DA1" w:rsidRDefault="00713DA1">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A" w14:textId="2A40EE90" w:rsidR="00713DA1" w:rsidRDefault="00713DA1">
    <w:pPr>
      <w:pStyle w:val="Voettekst"/>
      <w:framePr w:wrap="around" w:vAnchor="text" w:hAnchor="page" w:x="5482" w:y="131"/>
      <w:rPr>
        <w:rStyle w:val="Paginanummer"/>
        <w:szCs w:val="24"/>
      </w:rPr>
    </w:pPr>
    <w:r>
      <w:rPr>
        <w:rStyle w:val="Paginanummer"/>
        <w:szCs w:val="24"/>
      </w:rPr>
      <w:fldChar w:fldCharType="begin"/>
    </w:r>
    <w:r w:rsidR="00A96D5F">
      <w:rPr>
        <w:rStyle w:val="Paginanummer"/>
        <w:szCs w:val="24"/>
      </w:rPr>
      <w:instrText>PAGE</w:instrText>
    </w:r>
    <w:r>
      <w:rPr>
        <w:rStyle w:val="Paginanummer"/>
        <w:szCs w:val="24"/>
      </w:rPr>
      <w:instrText xml:space="preserve">  </w:instrText>
    </w:r>
    <w:r>
      <w:rPr>
        <w:rStyle w:val="Paginanummer"/>
        <w:szCs w:val="24"/>
      </w:rPr>
      <w:fldChar w:fldCharType="separate"/>
    </w:r>
    <w:r w:rsidR="00044A70">
      <w:rPr>
        <w:rStyle w:val="Paginanummer"/>
        <w:noProof/>
        <w:szCs w:val="24"/>
      </w:rPr>
      <w:t>2</w:t>
    </w:r>
    <w:r>
      <w:rPr>
        <w:rStyle w:val="Paginanummer"/>
        <w:szCs w:val="24"/>
      </w:rPr>
      <w:fldChar w:fldCharType="end"/>
    </w:r>
  </w:p>
  <w:p w14:paraId="16BA056B" w14:textId="77777777" w:rsidR="00713DA1" w:rsidRDefault="00713DA1">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D" w14:textId="77777777" w:rsidR="00713DA1" w:rsidRPr="009A6788" w:rsidRDefault="00713DA1"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F" w14:textId="0FC911B4" w:rsidR="00713DA1" w:rsidRDefault="00713DA1" w:rsidP="00FE149C">
    <w:pPr>
      <w:pStyle w:val="Voettekst"/>
      <w:framePr w:wrap="auto" w:vAnchor="text" w:hAnchor="margin" w:xAlign="right" w:y="1"/>
      <w:jc w:val="both"/>
      <w:rPr>
        <w:rStyle w:val="Paginanummer"/>
      </w:rPr>
    </w:pPr>
    <w:r>
      <w:rPr>
        <w:rStyle w:val="Paginanummer"/>
      </w:rPr>
      <w:fldChar w:fldCharType="begin"/>
    </w:r>
    <w:r w:rsidR="00A96D5F">
      <w:rPr>
        <w:rStyle w:val="Paginanummer"/>
      </w:rPr>
      <w:instrText>PAGE</w:instrText>
    </w:r>
    <w:r>
      <w:rPr>
        <w:rStyle w:val="Paginanummer"/>
      </w:rPr>
      <w:instrText xml:space="preserve">  </w:instrText>
    </w:r>
    <w:r>
      <w:rPr>
        <w:rStyle w:val="Paginanummer"/>
      </w:rPr>
      <w:fldChar w:fldCharType="separate"/>
    </w:r>
    <w:r w:rsidR="00044A70">
      <w:rPr>
        <w:rStyle w:val="Paginanummer"/>
        <w:noProof/>
      </w:rPr>
      <w:t>5</w:t>
    </w:r>
    <w:r>
      <w:rPr>
        <w:rStyle w:val="Paginanummer"/>
      </w:rPr>
      <w:fldChar w:fldCharType="end"/>
    </w:r>
  </w:p>
  <w:p w14:paraId="16BA0570" w14:textId="77777777" w:rsidR="00713DA1" w:rsidRDefault="00713DA1">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7" w14:textId="77777777" w:rsidR="00713DA1" w:rsidRDefault="00713DA1">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C" w14:textId="77777777" w:rsidR="00713DA1" w:rsidRPr="00D5640D" w:rsidRDefault="004F25D7" w:rsidP="00B2155C">
    <w:pPr>
      <w:pStyle w:val="Koptekst"/>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E" w14:textId="77777777" w:rsidR="00713DA1" w:rsidRPr="00FE149C" w:rsidRDefault="00713DA1"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126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55E21"/>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864"/>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0A77"/>
    <w:rsid w:val="00D7148B"/>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778"/>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ae14868-6f31-44f0-b410-52f19e37ad77" ContentTypeId="0x010100224C2C53E5E37643AFC355722DD40B5003"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DEPDOC-959341906-124573</_dlc_DocId>
    <_dlc_DocIdUrl xmlns="27a646ec-b11d-44f2-b007-16ce52b3018b">
      <Url>https://nuffic.sharepoint.com/sites/departments/na/_layouts/15/DocIdRedir.aspx?ID=DEPDOC-959341906-124573</Url>
      <Description>DEPDOC-959341906-124573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2.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3.xml><?xml version="1.0" encoding="utf-8"?>
<ds:datastoreItem xmlns:ds="http://schemas.openxmlformats.org/officeDocument/2006/customXml" ds:itemID="{F39E90DE-980B-41CF-8120-C3B2248492DA}">
  <ds:schemaRefs>
    <ds:schemaRef ds:uri="http://schemas.microsoft.com/sharepoint/events"/>
  </ds:schemaRefs>
</ds:datastoreItem>
</file>

<file path=customXml/itemProps4.xml><?xml version="1.0" encoding="utf-8"?>
<ds:datastoreItem xmlns:ds="http://schemas.openxmlformats.org/officeDocument/2006/customXml" ds:itemID="{A50A89B2-1598-4157-AE19-26160720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636ef-3700-47d8-93b9-5f3e281b284e"/>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336D5D-4447-4C0E-A811-004753A81BE9}">
  <ds:schemaRefs>
    <ds:schemaRef ds:uri="Microsoft.SharePoint.Taxonomy.ContentTypeSync"/>
  </ds:schemaRefs>
</ds:datastoreItem>
</file>

<file path=customXml/itemProps6.xml><?xml version="1.0" encoding="utf-8"?>
<ds:datastoreItem xmlns:ds="http://schemas.openxmlformats.org/officeDocument/2006/customXml" ds:itemID="{0ED8E3C7-46B0-4A08-AD73-E1AAF3547F9E}">
  <ds:schemaRefs>
    <ds:schemaRef ds:uri="http://schemas.openxmlformats.org/package/2006/metadata/core-properties"/>
    <ds:schemaRef ds:uri="http://purl.org/dc/terms/"/>
    <ds:schemaRef ds:uri="http://schemas.microsoft.com/office/infopath/2007/PartnerControls"/>
    <ds:schemaRef ds:uri="27a646ec-b11d-44f2-b007-16ce52b3018b"/>
    <ds:schemaRef ds:uri="http://schemas.microsoft.com/office/2006/documentManagement/types"/>
    <ds:schemaRef ds:uri="http://schemas.microsoft.com/office/2006/metadata/properties"/>
    <ds:schemaRef ds:uri="http://purl.org/dc/elements/1.1/"/>
    <ds:schemaRef ds:uri="a5b636ef-3700-47d8-93b9-5f3e281b284e"/>
    <ds:schemaRef ds:uri="http://www.w3.org/XML/1998/namespace"/>
    <ds:schemaRef ds:uri="http://purl.org/dc/dcmitype/"/>
  </ds:schemaRefs>
</ds:datastoreItem>
</file>

<file path=customXml/itemProps7.xml><?xml version="1.0" encoding="utf-8"?>
<ds:datastoreItem xmlns:ds="http://schemas.openxmlformats.org/officeDocument/2006/customXml" ds:itemID="{66C05D04-9664-438A-837F-5F709338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2231</Words>
  <Characters>12276</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Marijn van Grunsven</cp:lastModifiedBy>
  <cp:revision>7</cp:revision>
  <cp:lastPrinted>2018-01-16T14:41:00Z</cp:lastPrinted>
  <dcterms:created xsi:type="dcterms:W3CDTF">2019-01-23T10:05:00Z</dcterms:created>
  <dcterms:modified xsi:type="dcterms:W3CDTF">2019-06-20T10:32:00Z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0x010100224C2C53E5E37643AFC355722DD40B5003004CA53CEE9AE75B479B2924750BB76717</vt:lpwstr>
  </property>
  <property fmtid="{D5CDD505-2E9C-101B-9397-08002B2CF9AE}" pid="12" name="TaxKeyword">
    <vt:lpwstr/>
  </property>
  <property fmtid="{D5CDD505-2E9C-101B-9397-08002B2CF9AE}" pid="13" name="TaxCatchAll">
    <vt:lpwstr/>
  </property>
  <property fmtid="{D5CDD505-2E9C-101B-9397-08002B2CF9AE}" pid="14" name="TaxKeywordTaxHTField">
    <vt:lpwstr/>
  </property>
  <property fmtid="{D5CDD505-2E9C-101B-9397-08002B2CF9AE}" pid="15" name="_dlc_DocIdItemGuid">
    <vt:lpwstr>a672c674-bc79-492c-b5c3-63cc6f09f9f7</vt:lpwstr>
  </property>
</Properties>
</file>