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77777777" w:rsidR="00B20DB0" w:rsidRDefault="00B20DB0">
      <w:pPr>
        <w:jc w:val="center"/>
        <w:rPr>
          <w:rFonts w:ascii="Times New Roman" w:hAnsi="Times New Roman"/>
          <w:b/>
          <w:sz w:val="24"/>
          <w:szCs w:val="24"/>
          <w:shd w:val="clear" w:color="auto" w:fill="FFFF00"/>
        </w:rPr>
      </w:pPr>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278F011A" w14:textId="77777777" w:rsidR="00B20DB0" w:rsidRDefault="00B20DB0">
      <w:pPr>
        <w:pStyle w:val="Lijstopsomteken"/>
        <w:rPr>
          <w:lang w:val="en-US"/>
        </w:rPr>
      </w:pPr>
    </w:p>
    <w:p w14:paraId="3429F7DF" w14:textId="77777777" w:rsidR="00B20DB0" w:rsidRDefault="00B20DB0">
      <w:pPr>
        <w:pStyle w:val="Lijstopsomteken"/>
        <w:rPr>
          <w:b/>
        </w:rPr>
      </w:pPr>
      <w:r>
        <w:rPr>
          <w:b/>
          <w:lang w:val="en-US"/>
        </w:rPr>
        <w:t xml:space="preserve">I. RULES APPLICABLE TO BUDGET CATEGORIES BASED ON UNIT CONTRIBUTIONS </w:t>
      </w:r>
    </w:p>
    <w:p w14:paraId="4916ED0B" w14:textId="77777777" w:rsidR="00B20DB0" w:rsidRDefault="00B20DB0">
      <w:pPr>
        <w:pStyle w:val="Lijstopsomteken"/>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jstalinea"/>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6A4C4E99" w14:textId="77777777" w:rsidR="00B20DB0" w:rsidRDefault="00B20DB0" w:rsidP="0093603A">
      <w:pPr>
        <w:pStyle w:val="Lijstalinea"/>
        <w:numPr>
          <w:ilvl w:val="0"/>
          <w:numId w:val="20"/>
        </w:numPr>
        <w:tabs>
          <w:tab w:val="clear" w:pos="0"/>
          <w:tab w:val="num" w:pos="284"/>
        </w:tabs>
        <w:ind w:left="426" w:hanging="284"/>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50F36777" w14:textId="77777777" w:rsidR="00B20DB0" w:rsidRDefault="00B20DB0">
      <w:pPr>
        <w:pStyle w:val="Lijstalinea"/>
        <w:rPr>
          <w:rFonts w:ascii="Times New Roman" w:hAnsi="Times New Roman"/>
          <w:sz w:val="24"/>
          <w:szCs w:val="24"/>
        </w:rPr>
      </w:pPr>
    </w:p>
    <w:p w14:paraId="24D529F5" w14:textId="3C637226" w:rsidR="00B20DB0" w:rsidRDefault="00B20DB0" w:rsidP="0093603A">
      <w:pPr>
        <w:numPr>
          <w:ilvl w:val="0"/>
          <w:numId w:val="24"/>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Calculation of the grant amount for travel costs </w:t>
      </w:r>
      <w:r w:rsidRPr="00B578BC">
        <w:rPr>
          <w:rFonts w:ascii="Times New Roman" w:hAnsi="Times New Roman"/>
          <w:sz w:val="24"/>
          <w:szCs w:val="24"/>
        </w:rPr>
        <w:t>for staff</w:t>
      </w:r>
      <w:r>
        <w:rPr>
          <w:rFonts w:ascii="Times New Roman" w:hAnsi="Times New Roman"/>
          <w:sz w:val="24"/>
          <w:szCs w:val="24"/>
        </w:rPr>
        <w:t xml:space="preserve">: the grant amount is calculated by multiplying the number of participants 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20B75ACC" w14:textId="77DA6159" w:rsidR="00B20DB0" w:rsidRDefault="00B20DB0" w:rsidP="0051078E">
      <w:pPr>
        <w:pStyle w:val="Lijstalinea"/>
        <w:ind w:left="567"/>
        <w:jc w:val="both"/>
        <w:rPr>
          <w:rFonts w:ascii="Times New Roman" w:eastAsia="Times New Roman" w:hAnsi="Times New Roman"/>
          <w:color w:val="000000"/>
          <w:sz w:val="24"/>
          <w:szCs w:val="24"/>
        </w:rPr>
      </w:pPr>
      <w:r w:rsidRPr="006770A0">
        <w:rPr>
          <w:rFonts w:ascii="Times New Roman" w:eastAsia="Times New Roman" w:hAnsi="Times New Roman"/>
          <w:color w:val="000000"/>
          <w:sz w:val="24"/>
          <w:szCs w:val="24"/>
        </w:rPr>
        <w:lastRenderedPageBreak/>
        <w:t>For student mobility, unit contributions for travel between Programme Countries are applicable for sending institutions from outermost Programme countries and regions (outermost regions, Cyprus, Iceland, Malta</w:t>
      </w:r>
      <w:r w:rsidR="006770A0">
        <w:rPr>
          <w:rFonts w:ascii="Times New Roman" w:eastAsia="Times New Roman" w:hAnsi="Times New Roman"/>
          <w:color w:val="000000"/>
          <w:sz w:val="24"/>
          <w:szCs w:val="24"/>
        </w:rPr>
        <w:t>)</w:t>
      </w:r>
      <w:r w:rsidRPr="006770A0">
        <w:rPr>
          <w:rFonts w:ascii="Times New Roman" w:eastAsia="Times New Roman" w:hAnsi="Times New Roman"/>
          <w:color w:val="000000"/>
          <w:sz w:val="24"/>
          <w:szCs w:val="24"/>
        </w:rPr>
        <w:t xml:space="preserve"> and Over</w:t>
      </w:r>
      <w:r w:rsidR="00182B22">
        <w:rPr>
          <w:rFonts w:ascii="Times New Roman" w:eastAsia="Times New Roman" w:hAnsi="Times New Roman"/>
          <w:color w:val="000000"/>
          <w:sz w:val="24"/>
          <w:szCs w:val="24"/>
        </w:rPr>
        <w:t>seas Countries and Territories.</w:t>
      </w:r>
    </w:p>
    <w:p w14:paraId="3522FFD4" w14:textId="77777777" w:rsidR="00B20DB0" w:rsidRDefault="00B20DB0" w:rsidP="0051078E">
      <w:pPr>
        <w:pStyle w:val="Lijstalinea"/>
        <w:ind w:left="567"/>
        <w:jc w:val="both"/>
        <w:rPr>
          <w:rFonts w:ascii="Times New Roman" w:eastAsia="Times New Roman" w:hAnsi="Times New Roman"/>
          <w:color w:val="000000"/>
          <w:sz w:val="24"/>
          <w:szCs w:val="24"/>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4178F4" w:rsidP="0051078E">
      <w:pPr>
        <w:spacing w:after="0"/>
        <w:ind w:left="567"/>
        <w:jc w:val="both"/>
        <w:rPr>
          <w:rFonts w:ascii="Times New Roman" w:hAnsi="Times New Roman"/>
          <w:sz w:val="24"/>
          <w:szCs w:val="24"/>
        </w:rPr>
      </w:pPr>
      <w:hyperlink r:id="rId14"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11F21441" w14:textId="12504C3F" w:rsidR="00B63B1F" w:rsidRPr="00182B22" w:rsidRDefault="00B20DB0" w:rsidP="00182B22">
      <w:pPr>
        <w:numPr>
          <w:ilvl w:val="0"/>
          <w:numId w:val="3"/>
        </w:numPr>
        <w:tabs>
          <w:tab w:val="num" w:pos="567"/>
        </w:tabs>
        <w:spacing w:line="100" w:lineRule="atLeast"/>
        <w:ind w:left="567" w:hanging="567"/>
        <w:jc w:val="both"/>
        <w:rPr>
          <w:rFonts w:ascii="Times New Roman" w:hAnsi="Times New Roman"/>
          <w:sz w:val="24"/>
          <w:szCs w:val="24"/>
        </w:rPr>
      </w:pPr>
      <w:r w:rsidRPr="00182B22">
        <w:rPr>
          <w:rFonts w:ascii="Times New Roman" w:hAnsi="Times New Roman"/>
          <w:sz w:val="24"/>
          <w:szCs w:val="24"/>
        </w:rPr>
        <w:t>Triggering event:  the event that conditions the entitlement to the grant is that the participant has actually undertaken the activity.</w:t>
      </w:r>
    </w:p>
    <w:p w14:paraId="05962538" w14:textId="306F71E2" w:rsidR="00F87693" w:rsidRPr="00B578BC" w:rsidRDefault="00182B22" w:rsidP="00182B22">
      <w:pPr>
        <w:tabs>
          <w:tab w:val="left" w:pos="567"/>
        </w:tabs>
        <w:spacing w:after="0" w:line="100" w:lineRule="atLeast"/>
        <w:ind w:left="567" w:hanging="567"/>
        <w:jc w:val="both"/>
        <w:rPr>
          <w:rFonts w:ascii="Times New Roman" w:hAnsi="Times New Roman"/>
          <w:color w:val="000000"/>
          <w:sz w:val="24"/>
          <w:szCs w:val="24"/>
        </w:rPr>
      </w:pPr>
      <w:r>
        <w:rPr>
          <w:rFonts w:ascii="Times New Roman" w:eastAsia="Times New Roman" w:hAnsi="Times New Roman"/>
          <w:color w:val="000000"/>
          <w:sz w:val="24"/>
          <w:szCs w:val="24"/>
        </w:rPr>
        <w:t>(c.1)</w:t>
      </w:r>
      <w:r>
        <w:rPr>
          <w:rFonts w:ascii="Times New Roman" w:eastAsia="Times New Roman" w:hAnsi="Times New Roman"/>
          <w:color w:val="000000"/>
          <w:sz w:val="24"/>
          <w:szCs w:val="24"/>
        </w:rPr>
        <w:tab/>
      </w:r>
      <w:r w:rsidR="00B20DB0" w:rsidRPr="00E95980">
        <w:rPr>
          <w:rFonts w:ascii="Times New Roman" w:eastAsia="Times New Roman" w:hAnsi="Times New Roman"/>
          <w:color w:val="000000"/>
          <w:sz w:val="24"/>
          <w:szCs w:val="24"/>
        </w:rPr>
        <w:t xml:space="preserve">Supporting documents </w:t>
      </w:r>
      <w:r w:rsidR="00B20DB0" w:rsidRPr="00B578BC">
        <w:rPr>
          <w:rFonts w:ascii="Times New Roman" w:eastAsia="Times New Roman" w:hAnsi="Times New Roman"/>
          <w:color w:val="000000"/>
          <w:sz w:val="24"/>
          <w:szCs w:val="24"/>
        </w:rPr>
        <w:t>for staff:</w:t>
      </w:r>
      <w:r w:rsidR="00B20DB0"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00B20DB0"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75E25C65" w14:textId="11014E76" w:rsidR="00B20DB0" w:rsidRDefault="00B20DB0" w:rsidP="00182B22">
      <w:pPr>
        <w:tabs>
          <w:tab w:val="left" w:pos="567"/>
        </w:tabs>
        <w:ind w:left="709" w:hanging="709"/>
        <w:jc w:val="both"/>
        <w:rPr>
          <w:rFonts w:ascii="Times New Roman" w:hAnsi="Times New Roman"/>
          <w:sz w:val="24"/>
          <w:szCs w:val="24"/>
        </w:rPr>
      </w:pPr>
      <w:r w:rsidRPr="00F3300A">
        <w:rPr>
          <w:rFonts w:ascii="Times New Roman" w:eastAsia="Times New Roman" w:hAnsi="Times New Roman"/>
          <w:color w:val="000000"/>
          <w:sz w:val="24"/>
          <w:szCs w:val="24"/>
        </w:rPr>
        <w:t>(c</w:t>
      </w:r>
      <w:r w:rsidR="00182B22">
        <w:rPr>
          <w:rFonts w:ascii="Times New Roman" w:eastAsia="Times New Roman" w:hAnsi="Times New Roman"/>
          <w:color w:val="000000"/>
          <w:sz w:val="24"/>
          <w:szCs w:val="24"/>
        </w:rPr>
        <w:t>.2</w:t>
      </w:r>
      <w:r w:rsidRPr="00F3300A">
        <w:rPr>
          <w:rFonts w:ascii="Times New Roman" w:eastAsia="Times New Roman" w:hAnsi="Times New Roman"/>
          <w:color w:val="000000"/>
          <w:sz w:val="24"/>
          <w:szCs w:val="24"/>
        </w:rPr>
        <w:t>)   </w:t>
      </w:r>
      <w:r w:rsidR="00BC7854">
        <w:rPr>
          <w:rFonts w:ascii="Times New Roman" w:eastAsia="Times New Roman" w:hAnsi="Times New Roman"/>
          <w:color w:val="000000"/>
          <w:sz w:val="24"/>
          <w:szCs w:val="24"/>
        </w:rPr>
        <w:tab/>
      </w:r>
      <w:r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Pr="00F3300A">
        <w:rPr>
          <w:rFonts w:ascii="Times New Roman" w:eastAsia="Times New Roman" w:hAnsi="Times New Roman"/>
          <w:color w:val="000000"/>
          <w:sz w:val="24"/>
          <w:szCs w:val="24"/>
        </w:rPr>
        <w:t>evidence issued by the</w:t>
      </w:r>
      <w:r>
        <w:rPr>
          <w:rFonts w:ascii="Times New Roman" w:hAnsi="Times New Roman"/>
          <w:sz w:val="24"/>
          <w:szCs w:val="24"/>
        </w:rPr>
        <w:t xml:space="preserve"> receiving organisation and specifying:</w:t>
      </w:r>
    </w:p>
    <w:p w14:paraId="07FF8A07" w14:textId="77777777" w:rsidR="00B20DB0" w:rsidRDefault="00B20DB0" w:rsidP="0093603A">
      <w:pPr>
        <w:pStyle w:val="Lijstalinea"/>
        <w:numPr>
          <w:ilvl w:val="0"/>
          <w:numId w:val="17"/>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93603A">
      <w:pPr>
        <w:pStyle w:val="Lijstalinea"/>
        <w:numPr>
          <w:ilvl w:val="0"/>
          <w:numId w:val="17"/>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93603A">
      <w:pPr>
        <w:pStyle w:val="Lijstalinea"/>
        <w:numPr>
          <w:ilvl w:val="0"/>
          <w:numId w:val="22"/>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7876939E" w:rsidR="00B20DB0" w:rsidRDefault="00B20DB0" w:rsidP="0093603A">
      <w:pPr>
        <w:pStyle w:val="Lijstalinea"/>
        <w:numPr>
          <w:ilvl w:val="0"/>
          <w:numId w:val="22"/>
        </w:numPr>
        <w:ind w:left="1985" w:hanging="425"/>
        <w:jc w:val="both"/>
      </w:pPr>
      <w:r>
        <w:rPr>
          <w:rFonts w:ascii="Times New Roman" w:hAnsi="Times New Roman"/>
          <w:sz w:val="24"/>
          <w:szCs w:val="24"/>
        </w:rPr>
        <w:t>Traineeship Certificate (or statement attached to it) in the case of mobility for traineeships</w:t>
      </w:r>
      <w:r w:rsidR="00182B22">
        <w:t>.</w:t>
      </w:r>
    </w:p>
    <w:p w14:paraId="195DCBD2" w14:textId="77777777" w:rsidR="00BC7854" w:rsidRDefault="00BC7854" w:rsidP="00BC7854">
      <w:pPr>
        <w:spacing w:after="0"/>
        <w:ind w:left="709"/>
        <w:jc w:val="both"/>
        <w:rPr>
          <w:rFonts w:ascii="Times New Roman" w:hAnsi="Times New Roman"/>
          <w:sz w:val="24"/>
          <w:szCs w:val="24"/>
        </w:rPr>
      </w:pPr>
    </w:p>
    <w:p w14:paraId="4613CCDC" w14:textId="77777777" w:rsidR="00B20DB0" w:rsidRPr="0018773E" w:rsidRDefault="00B20DB0">
      <w:pPr>
        <w:tabs>
          <w:tab w:val="left" w:pos="851"/>
        </w:tabs>
        <w:spacing w:after="0" w:line="100" w:lineRule="atLeast"/>
        <w:jc w:val="both"/>
        <w:rPr>
          <w:rFonts w:ascii="Times New Roman" w:hAnsi="Times New Roman"/>
          <w:b/>
          <w:sz w:val="24"/>
          <w:szCs w:val="24"/>
        </w:rPr>
      </w:pPr>
      <w:r w:rsidRPr="00CB3AE7">
        <w:rPr>
          <w:rFonts w:ascii="Times New Roman" w:hAnsi="Times New Roman"/>
          <w:b/>
          <w:sz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56673DC5" w14:textId="01EB1723" w:rsidR="0048672D" w:rsidRDefault="00182B22" w:rsidP="00182B22">
      <w:pPr>
        <w:spacing w:line="100" w:lineRule="atLeast"/>
        <w:ind w:left="567" w:hanging="567"/>
        <w:jc w:val="both"/>
        <w:rPr>
          <w:rFonts w:ascii="Times New Roman" w:hAnsi="Times New Roman"/>
          <w:sz w:val="24"/>
          <w:szCs w:val="24"/>
        </w:rPr>
      </w:pPr>
      <w:r>
        <w:rPr>
          <w:rFonts w:ascii="Times New Roman" w:hAnsi="Times New Roman"/>
          <w:sz w:val="24"/>
          <w:szCs w:val="24"/>
        </w:rPr>
        <w:t xml:space="preserve">(a.1) </w:t>
      </w:r>
      <w:r w:rsidR="0048672D" w:rsidRPr="001F5BC9">
        <w:rPr>
          <w:rFonts w:ascii="Times New Roman" w:hAnsi="Times New Roman"/>
          <w:sz w:val="24"/>
          <w:szCs w:val="24"/>
        </w:rPr>
        <w:t>Calculation of the grant amount</w:t>
      </w:r>
      <w:r w:rsidR="0048672D">
        <w:rPr>
          <w:rFonts w:ascii="Times New Roman" w:hAnsi="Times New Roman"/>
          <w:sz w:val="24"/>
          <w:szCs w:val="24"/>
        </w:rPr>
        <w:t xml:space="preserve"> </w:t>
      </w:r>
      <w:r w:rsidR="0048672D" w:rsidRPr="005716F9">
        <w:rPr>
          <w:rFonts w:ascii="Times New Roman" w:hAnsi="Times New Roman"/>
          <w:sz w:val="24"/>
          <w:szCs w:val="24"/>
        </w:rPr>
        <w:t>for students</w:t>
      </w:r>
      <w:r w:rsidR="0048672D" w:rsidRPr="001F5BC9">
        <w:rPr>
          <w:rFonts w:ascii="Times New Roman" w:hAnsi="Times New Roman"/>
          <w:sz w:val="24"/>
          <w:szCs w:val="24"/>
        </w:rPr>
        <w:t>: the grant amount is calculated by multiplying the number of</w:t>
      </w:r>
      <w:r w:rsidR="0048672D">
        <w:rPr>
          <w:rFonts w:ascii="Times New Roman" w:hAnsi="Times New Roman"/>
          <w:sz w:val="24"/>
          <w:szCs w:val="24"/>
        </w:rPr>
        <w:t xml:space="preserve"> </w:t>
      </w:r>
      <w:r w:rsidR="0048672D" w:rsidRPr="001F5BC9">
        <w:rPr>
          <w:rFonts w:ascii="Times New Roman" w:hAnsi="Times New Roman"/>
          <w:sz w:val="24"/>
          <w:szCs w:val="24"/>
        </w:rPr>
        <w:t>days/months</w:t>
      </w:r>
      <w:r w:rsidR="001F7F2A">
        <w:rPr>
          <w:rFonts w:ascii="Times New Roman" w:hAnsi="Times New Roman"/>
          <w:sz w:val="24"/>
          <w:szCs w:val="24"/>
        </w:rPr>
        <w:t xml:space="preserve"> per</w:t>
      </w:r>
      <w:r w:rsidR="0048672D">
        <w:rPr>
          <w:rFonts w:ascii="Times New Roman" w:hAnsi="Times New Roman"/>
          <w:sz w:val="24"/>
          <w:szCs w:val="24"/>
        </w:rPr>
        <w:t xml:space="preserve"> </w:t>
      </w:r>
      <w:r w:rsidR="0048672D" w:rsidRPr="000C246B">
        <w:rPr>
          <w:rFonts w:ascii="Times New Roman" w:hAnsi="Times New Roman"/>
          <w:sz w:val="24"/>
          <w:szCs w:val="24"/>
        </w:rPr>
        <w:t>student</w:t>
      </w:r>
      <w:r>
        <w:rPr>
          <w:rFonts w:ascii="Times New Roman" w:hAnsi="Times New Roman"/>
          <w:sz w:val="24"/>
          <w:szCs w:val="24"/>
        </w:rPr>
        <w:t xml:space="preserve"> </w:t>
      </w:r>
      <w:r w:rsidR="0048672D" w:rsidRPr="001A6DB7">
        <w:rPr>
          <w:rFonts w:ascii="Times New Roman" w:hAnsi="Times New Roman"/>
          <w:sz w:val="24"/>
          <w:szCs w:val="24"/>
        </w:rPr>
        <w:t>by the unit contribution applicable per day/month for the receiving country concerned as specified in Annex IV of the Agreement.</w:t>
      </w:r>
    </w:p>
    <w:p w14:paraId="51B9A45A" w14:textId="0994D9E1" w:rsidR="0048672D" w:rsidRPr="001A6DB7" w:rsidRDefault="0048672D" w:rsidP="0048672D">
      <w:pPr>
        <w:spacing w:line="100" w:lineRule="atLeast"/>
        <w:ind w:left="567"/>
        <w:jc w:val="both"/>
        <w:rPr>
          <w:rFonts w:ascii="Times New Roman" w:hAnsi="Times New Roman"/>
          <w:sz w:val="24"/>
          <w:szCs w:val="24"/>
        </w:rPr>
      </w:pP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p>
    <w:p w14:paraId="22BA0F11" w14:textId="7346EBF6" w:rsidR="00B20DB0" w:rsidRDefault="00182B22" w:rsidP="00BE2A05">
      <w:pPr>
        <w:ind w:left="567"/>
        <w:rPr>
          <w:rFonts w:ascii="Times New Roman" w:hAnsi="Times New Roman"/>
          <w:sz w:val="24"/>
          <w:szCs w:val="24"/>
        </w:rPr>
      </w:pPr>
      <w:r>
        <w:rPr>
          <w:rFonts w:ascii="Times New Roman" w:hAnsi="Times New Roman"/>
          <w:sz w:val="24"/>
          <w:szCs w:val="24"/>
        </w:rPr>
        <w:t>In the case of higher education student mobility, s</w:t>
      </w:r>
      <w:r w:rsidR="00B20DB0">
        <w:rPr>
          <w:rFonts w:ascii="Times New Roman" w:hAnsi="Times New Roman"/>
          <w:sz w:val="24"/>
          <w:szCs w:val="24"/>
        </w:rPr>
        <w:t xml:space="preserve">tart and end dates will be counted as follows: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lastRenderedPageBreak/>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07AEF845" w:rsidR="00B20DB0" w:rsidRDefault="00B20DB0" w:rsidP="0093603A">
      <w:pPr>
        <w:numPr>
          <w:ilvl w:val="0"/>
          <w:numId w:val="25"/>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 xml:space="preserve">datory sitting period). </w:t>
      </w:r>
    </w:p>
    <w:p w14:paraId="13055A63" w14:textId="00DE4363" w:rsidR="00B20DB0" w:rsidRDefault="00182B22" w:rsidP="00182B22">
      <w:p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(a.2) </w:t>
      </w:r>
      <w:r w:rsidR="00906C30">
        <w:rPr>
          <w:rFonts w:ascii="Times New Roman" w:eastAsia="Times New Roman" w:hAnsi="Times New Roman"/>
          <w:color w:val="000000"/>
          <w:sz w:val="24"/>
          <w:szCs w:val="24"/>
        </w:rPr>
        <w:t xml:space="preserve"> Calculation of the grant amount for staff: </w:t>
      </w:r>
      <w:r w:rsidR="00C13818">
        <w:rPr>
          <w:rFonts w:ascii="Times New Roman" w:eastAsia="Times New Roman" w:hAnsi="Times New Roman"/>
          <w:color w:val="000000"/>
          <w:sz w:val="24"/>
          <w:szCs w:val="24"/>
        </w:rPr>
        <w:t>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7848B4B2" w:rsidR="00B20DB0" w:rsidRDefault="00B20DB0" w:rsidP="004A2024">
      <w:pPr>
        <w:spacing w:after="240" w:line="100" w:lineRule="atLeast"/>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p>
    <w:p w14:paraId="2C5D9145" w14:textId="77777777" w:rsidR="00B20DB0" w:rsidRDefault="00603998" w:rsidP="00906C30">
      <w:pPr>
        <w:tabs>
          <w:tab w:val="left" w:pos="851"/>
        </w:tabs>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93603A">
      <w:pPr>
        <w:numPr>
          <w:ilvl w:val="0"/>
          <w:numId w:val="27"/>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93603A">
      <w:pPr>
        <w:numPr>
          <w:ilvl w:val="1"/>
          <w:numId w:val="28"/>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93603A">
      <w:pPr>
        <w:numPr>
          <w:ilvl w:val="1"/>
          <w:numId w:val="28"/>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Default="00B20DB0" w:rsidP="0093603A">
      <w:pPr>
        <w:numPr>
          <w:ilvl w:val="1"/>
          <w:numId w:val="28"/>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93603A">
      <w:pPr>
        <w:pStyle w:val="Lijstalinea"/>
        <w:numPr>
          <w:ilvl w:val="0"/>
          <w:numId w:val="29"/>
        </w:numPr>
        <w:tabs>
          <w:tab w:val="left" w:pos="993"/>
        </w:tabs>
        <w:spacing w:after="240"/>
        <w:ind w:left="993"/>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77777777" w:rsidR="00603998" w:rsidRPr="001A0CB9" w:rsidRDefault="00603998" w:rsidP="0093603A">
      <w:pPr>
        <w:numPr>
          <w:ilvl w:val="0"/>
          <w:numId w:val="29"/>
        </w:numPr>
        <w:tabs>
          <w:tab w:val="left" w:pos="993"/>
        </w:tabs>
        <w:ind w:left="993"/>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93603A">
      <w:pPr>
        <w:numPr>
          <w:ilvl w:val="1"/>
          <w:numId w:val="30"/>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0C1D8218" w:rsidR="00B20DB0" w:rsidRPr="00603998" w:rsidRDefault="00603998" w:rsidP="0093603A">
      <w:pPr>
        <w:numPr>
          <w:ilvl w:val="1"/>
          <w:numId w:val="30"/>
        </w:numPr>
        <w:jc w:val="both"/>
        <w:rPr>
          <w:rFonts w:ascii="Times New Roman" w:hAnsi="Times New Roman"/>
          <w:sz w:val="24"/>
          <w:szCs w:val="24"/>
        </w:rPr>
      </w:pPr>
      <w:r w:rsidRPr="001A0CB9">
        <w:rPr>
          <w:rFonts w:ascii="Times New Roman" w:hAnsi="Times New Roman"/>
          <w:sz w:val="24"/>
          <w:szCs w:val="24"/>
        </w:rPr>
        <w:lastRenderedPageBreak/>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p>
    <w:p w14:paraId="3FF14BE3"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Pr>
          <w:rFonts w:ascii="Times New Roman" w:hAnsi="Times New Roman"/>
          <w:sz w:val="24"/>
          <w:szCs w:val="24"/>
        </w:rPr>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736FDCE7" w14:textId="24A52D2B" w:rsidR="00B20DB0" w:rsidRDefault="00906C30" w:rsidP="00906C30">
      <w:pPr>
        <w:tabs>
          <w:tab w:val="left" w:pos="567"/>
        </w:tabs>
        <w:spacing w:after="240" w:line="100" w:lineRule="atLeast"/>
        <w:ind w:left="567" w:hanging="567"/>
        <w:jc w:val="both"/>
        <w:rPr>
          <w:rFonts w:ascii="Times New Roman" w:hAnsi="Times New Roman"/>
          <w:sz w:val="24"/>
          <w:szCs w:val="24"/>
          <w:shd w:val="clear" w:color="auto" w:fill="00FFFF"/>
        </w:rPr>
      </w:pPr>
      <w:r>
        <w:rPr>
          <w:rFonts w:ascii="Times New Roman" w:hAnsi="Times New Roman"/>
          <w:sz w:val="24"/>
          <w:szCs w:val="24"/>
        </w:rPr>
        <w:t xml:space="preserve">(b) </w:t>
      </w:r>
      <w:r>
        <w:rPr>
          <w:rFonts w:ascii="Times New Roman" w:hAnsi="Times New Roman"/>
          <w:sz w:val="24"/>
          <w:szCs w:val="24"/>
        </w:rPr>
        <w:tab/>
      </w:r>
      <w:r w:rsidR="00B20DB0">
        <w:rPr>
          <w:rFonts w:ascii="Times New Roman" w:hAnsi="Times New Roman"/>
          <w:sz w:val="24"/>
          <w:szCs w:val="24"/>
        </w:rPr>
        <w:t>Triggering event: the event that conditions the entitlement to the grant is that the participant has actually undertaken the activity for the specified period.</w:t>
      </w:r>
    </w:p>
    <w:p w14:paraId="6A1FCCDA" w14:textId="6D945F36" w:rsidR="00B20DB0" w:rsidRPr="00B578BC" w:rsidRDefault="00906C30" w:rsidP="00906C30">
      <w:pPr>
        <w:spacing w:after="240" w:line="100" w:lineRule="atLeast"/>
        <w:ind w:left="567" w:hanging="567"/>
        <w:jc w:val="both"/>
        <w:rPr>
          <w:rFonts w:ascii="Times New Roman" w:hAnsi="Times New Roman"/>
          <w:color w:val="000000"/>
          <w:sz w:val="24"/>
          <w:szCs w:val="24"/>
          <w:shd w:val="clear" w:color="auto" w:fill="00FFFF"/>
        </w:rPr>
      </w:pPr>
      <w:r>
        <w:rPr>
          <w:rFonts w:ascii="Times New Roman" w:hAnsi="Times New Roman"/>
          <w:color w:val="000000"/>
          <w:sz w:val="24"/>
          <w:szCs w:val="24"/>
        </w:rPr>
        <w:t xml:space="preserve">(c.1) </w:t>
      </w:r>
      <w:r w:rsidR="00B20DB0" w:rsidRPr="00B578BC">
        <w:rPr>
          <w:rFonts w:ascii="Times New Roman" w:hAnsi="Times New Roman"/>
          <w:color w:val="000000"/>
          <w:sz w:val="24"/>
          <w:szCs w:val="24"/>
        </w:rPr>
        <w:t>Supporting documents</w:t>
      </w:r>
      <w:r>
        <w:rPr>
          <w:rFonts w:ascii="Times New Roman" w:hAnsi="Times New Roman"/>
          <w:color w:val="000000"/>
          <w:sz w:val="24"/>
          <w:szCs w:val="24"/>
        </w:rPr>
        <w:t xml:space="preserve"> </w:t>
      </w:r>
      <w:r w:rsidR="00B20DB0" w:rsidRPr="00B578BC">
        <w:rPr>
          <w:rFonts w:ascii="Times New Roman" w:hAnsi="Times New Roman"/>
          <w:sz w:val="24"/>
          <w:szCs w:val="24"/>
        </w:rPr>
        <w:t>for staff</w:t>
      </w:r>
      <w:r w:rsidR="00B20DB0" w:rsidRPr="0047668B">
        <w:rPr>
          <w:rFonts w:ascii="Times New Roman" w:hAnsi="Times New Roman"/>
          <w:sz w:val="24"/>
          <w:szCs w:val="24"/>
        </w:rPr>
        <w:t>:</w:t>
      </w:r>
      <w:r w:rsidR="00B20DB0"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B20DB0" w:rsidRPr="00B578BC">
        <w:rPr>
          <w:rFonts w:ascii="Times New Roman" w:hAnsi="Times New Roman"/>
          <w:color w:val="000000"/>
          <w:sz w:val="24"/>
          <w:szCs w:val="24"/>
        </w:rPr>
        <w:t>.</w:t>
      </w:r>
    </w:p>
    <w:p w14:paraId="3D530328" w14:textId="27D8EFDC" w:rsidR="00B20DB0" w:rsidRDefault="003F7C20" w:rsidP="00906C30">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(c</w:t>
      </w:r>
      <w:r w:rsidR="00906C30">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93603A">
      <w:pPr>
        <w:pStyle w:val="Lijstalinea"/>
        <w:numPr>
          <w:ilvl w:val="0"/>
          <w:numId w:val="18"/>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93603A">
      <w:pPr>
        <w:pStyle w:val="Lijstalinea"/>
        <w:numPr>
          <w:ilvl w:val="0"/>
          <w:numId w:val="18"/>
        </w:numPr>
        <w:ind w:left="1134" w:hanging="425"/>
        <w:jc w:val="both"/>
        <w:rPr>
          <w:rFonts w:ascii="Times New Roman" w:hAnsi="Times New Roman"/>
          <w:sz w:val="24"/>
          <w:szCs w:val="24"/>
        </w:rPr>
      </w:pPr>
      <w:r>
        <w:rPr>
          <w:rFonts w:ascii="Times New Roman" w:hAnsi="Times New Roman"/>
          <w:sz w:val="24"/>
          <w:szCs w:val="24"/>
        </w:rPr>
        <w:t>the confirmed start and end date of the mobility activity in the following format:</w:t>
      </w:r>
    </w:p>
    <w:p w14:paraId="552386B3" w14:textId="77777777" w:rsidR="00B20DB0" w:rsidRDefault="00B20DB0">
      <w:pPr>
        <w:pStyle w:val="Lijstalinea"/>
        <w:ind w:left="1440"/>
        <w:jc w:val="both"/>
        <w:rPr>
          <w:rFonts w:ascii="Times New Roman" w:hAnsi="Times New Roman"/>
          <w:sz w:val="24"/>
          <w:szCs w:val="24"/>
        </w:rPr>
      </w:pPr>
    </w:p>
    <w:p w14:paraId="4EF351E0" w14:textId="77777777" w:rsidR="00B20DB0" w:rsidRDefault="00B20DB0" w:rsidP="0093603A">
      <w:pPr>
        <w:numPr>
          <w:ilvl w:val="0"/>
          <w:numId w:val="21"/>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6798D7D6" w14:textId="5A0E0295" w:rsidR="00B20DB0" w:rsidRDefault="00B20DB0" w:rsidP="0093603A">
      <w:pPr>
        <w:numPr>
          <w:ilvl w:val="0"/>
          <w:numId w:val="21"/>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34541F50" w:rsidR="00B20DB0" w:rsidRDefault="00B20DB0" w:rsidP="004A2024">
      <w:pPr>
        <w:ind w:left="567" w:hanging="425"/>
        <w:jc w:val="both"/>
        <w:rPr>
          <w:rFonts w:ascii="Times New Roman" w:hAnsi="Times New Roman"/>
          <w:sz w:val="24"/>
          <w:szCs w:val="24"/>
        </w:rPr>
      </w:pPr>
      <w:r>
        <w:rPr>
          <w:rFonts w:ascii="Times New Roman" w:hAnsi="Times New Roman"/>
          <w:sz w:val="24"/>
          <w:szCs w:val="24"/>
          <w:lang w:val="nb-NO"/>
        </w:rPr>
        <w:t xml:space="preserve">(d)    Reporting: </w:t>
      </w:r>
    </w:p>
    <w:p w14:paraId="6C804A6E" w14:textId="5B0469F4"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sidRPr="00B578BC">
        <w:rPr>
          <w:rFonts w:ascii="Times New Roman" w:hAnsi="Times New Roman"/>
          <w:sz w:val="24"/>
          <w:szCs w:val="24"/>
        </w:rPr>
        <w:lastRenderedPageBreak/>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54D9340D" w14:textId="16EE04B4" w:rsidR="00B20DB0" w:rsidRDefault="00B20DB0" w:rsidP="0093603A">
      <w:pPr>
        <w:pStyle w:val="Lijstalinea"/>
        <w:numPr>
          <w:ilvl w:val="0"/>
          <w:numId w:val="5"/>
        </w:numPr>
        <w:spacing w:after="200" w:line="276" w:lineRule="auto"/>
        <w:ind w:hanging="436"/>
        <w:jc w:val="both"/>
        <w:rPr>
          <w:rFonts w:ascii="Times New Roman" w:hAnsi="Times New Roman"/>
          <w:sz w:val="24"/>
          <w:szCs w:val="24"/>
        </w:rPr>
      </w:pPr>
      <w:r>
        <w:rPr>
          <w:rFonts w:ascii="Times New Roman" w:hAnsi="Times New Roman"/>
          <w:sz w:val="24"/>
        </w:rPr>
        <w:t xml:space="preserve">Calculation of the grant amount: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 participants at their activity.</w:t>
      </w:r>
    </w:p>
    <w:p w14:paraId="7DC83750" w14:textId="32C43896" w:rsidR="00B20DB0" w:rsidRPr="00906C30" w:rsidRDefault="00B20DB0" w:rsidP="0093603A">
      <w:pPr>
        <w:pStyle w:val="Lijstalinea"/>
        <w:numPr>
          <w:ilvl w:val="0"/>
          <w:numId w:val="5"/>
        </w:numPr>
        <w:spacing w:after="200" w:line="276" w:lineRule="auto"/>
        <w:ind w:hanging="436"/>
        <w:jc w:val="both"/>
        <w:rPr>
          <w:rFonts w:ascii="Times New Roman" w:hAnsi="Times New Roman"/>
          <w:sz w:val="24"/>
        </w:rPr>
      </w:pPr>
      <w:r w:rsidRPr="00906C30">
        <w:rPr>
          <w:rFonts w:ascii="Times New Roman" w:hAnsi="Times New Roman"/>
          <w:sz w:val="24"/>
        </w:rPr>
        <w:t>Triggering event: the event that conditions the entitlement to the grant is that the participant has actually undertaken the activity.</w:t>
      </w:r>
    </w:p>
    <w:p w14:paraId="43A40498" w14:textId="04577C91" w:rsidR="00B20DB0" w:rsidRPr="00906C30" w:rsidRDefault="00B20DB0" w:rsidP="0093603A">
      <w:pPr>
        <w:pStyle w:val="Lijstalinea"/>
        <w:numPr>
          <w:ilvl w:val="0"/>
          <w:numId w:val="5"/>
        </w:numPr>
        <w:spacing w:after="200" w:line="276" w:lineRule="auto"/>
        <w:ind w:hanging="436"/>
        <w:jc w:val="both"/>
        <w:rPr>
          <w:rFonts w:ascii="Times New Roman" w:hAnsi="Times New Roman"/>
          <w:sz w:val="24"/>
        </w:rPr>
      </w:pPr>
      <w:r w:rsidRPr="00906C30">
        <w:rPr>
          <w:rFonts w:ascii="Times New Roman" w:hAnsi="Times New Roman"/>
          <w:sz w:val="24"/>
        </w:rPr>
        <w:t xml:space="preserve">Supporting documents: </w:t>
      </w:r>
      <w:r w:rsidR="00C041F3" w:rsidRPr="00906C30">
        <w:rPr>
          <w:rFonts w:ascii="Times New Roman" w:hAnsi="Times New Roman"/>
          <w:sz w:val="24"/>
        </w:rPr>
        <w:t>Proof of attendance of the activity in the form of a declaration signed by the receiving organisation specifying the name of the participant, the purpose of the activity, as well as its starting and end date</w:t>
      </w:r>
      <w:r w:rsidR="00906C30" w:rsidRPr="00906C30">
        <w:rPr>
          <w:rFonts w:ascii="Times New Roman" w:hAnsi="Times New Roman"/>
          <w:sz w:val="24"/>
        </w:rPr>
        <w:t>.</w:t>
      </w:r>
    </w:p>
    <w:p w14:paraId="4DA12A0F" w14:textId="2FAEC72A"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93603A">
      <w:pPr>
        <w:numPr>
          <w:ilvl w:val="0"/>
          <w:numId w:val="3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4FF7248A" w:rsidR="00B20DB0" w:rsidRDefault="00B20DB0" w:rsidP="0093603A">
      <w:pPr>
        <w:numPr>
          <w:ilvl w:val="0"/>
          <w:numId w:val="32"/>
        </w:numPr>
        <w:jc w:val="both"/>
        <w:rPr>
          <w:rFonts w:ascii="Times New Roman" w:hAnsi="Times New Roman"/>
          <w:b/>
          <w:sz w:val="24"/>
          <w:szCs w:val="24"/>
          <w:shd w:val="clear" w:color="auto" w:fill="00FFFF"/>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p>
    <w:p w14:paraId="1A4422A4" w14:textId="77777777" w:rsidR="007B6CAB" w:rsidRDefault="00B20DB0">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14:paraId="42F1ADA4" w14:textId="77777777" w:rsidR="00B20DB0" w:rsidRDefault="00B20DB0">
      <w:pPr>
        <w:jc w:val="both"/>
        <w:rPr>
          <w:rFonts w:ascii="Times New Roman" w:hAnsi="Times New Roman"/>
          <w:i/>
          <w:sz w:val="24"/>
          <w:szCs w:val="24"/>
        </w:rPr>
      </w:pPr>
      <w:r w:rsidRPr="0077498C">
        <w:rPr>
          <w:rFonts w:ascii="Times New Roman" w:hAnsi="Times New Roman"/>
          <w:b/>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Only applicable for mobilities for which the main language of instruction or work is Bulgarian, </w:t>
      </w:r>
      <w:r w:rsidR="00D633BF" w:rsidRPr="0077498C">
        <w:rPr>
          <w:rFonts w:ascii="Times New Roman" w:hAnsi="Times New Roman"/>
          <w:b/>
          <w:i/>
          <w:sz w:val="24"/>
          <w:szCs w:val="24"/>
          <w:highlight w:val="lightGray"/>
          <w:shd w:val="clear" w:color="auto" w:fill="FFFF00"/>
        </w:rPr>
        <w:t xml:space="preserve">Croatian, Czech, </w:t>
      </w:r>
      <w:r w:rsidRPr="0077498C">
        <w:rPr>
          <w:rFonts w:ascii="Times New Roman" w:hAnsi="Times New Roman"/>
          <w:b/>
          <w:i/>
          <w:sz w:val="24"/>
          <w:szCs w:val="24"/>
          <w:highlight w:val="lightGray"/>
          <w:shd w:val="clear" w:color="auto" w:fill="FFFF00"/>
        </w:rPr>
        <w:t xml:space="preserve">Danish, </w:t>
      </w:r>
      <w:r w:rsidR="00257574" w:rsidRPr="0077498C">
        <w:rPr>
          <w:rFonts w:ascii="Times New Roman" w:hAnsi="Times New Roman"/>
          <w:b/>
          <w:i/>
          <w:sz w:val="24"/>
          <w:szCs w:val="24"/>
          <w:highlight w:val="lightGray"/>
          <w:shd w:val="clear" w:color="auto" w:fill="FFFF00"/>
        </w:rPr>
        <w:t xml:space="preserve">Dutch, </w:t>
      </w:r>
      <w:r w:rsidR="00363DE0" w:rsidRPr="0077498C">
        <w:rPr>
          <w:rFonts w:ascii="Times New Roman" w:hAnsi="Times New Roman"/>
          <w:b/>
          <w:i/>
          <w:sz w:val="24"/>
          <w:szCs w:val="24"/>
          <w:highlight w:val="lightGray"/>
          <w:shd w:val="clear" w:color="auto" w:fill="FFFF00"/>
        </w:rPr>
        <w:t xml:space="preserve">English, Estonian, Finnish, French, </w:t>
      </w:r>
      <w:r w:rsidRPr="0077498C">
        <w:rPr>
          <w:rFonts w:ascii="Times New Roman" w:hAnsi="Times New Roman"/>
          <w:b/>
          <w:i/>
          <w:sz w:val="24"/>
          <w:szCs w:val="24"/>
          <w:highlight w:val="lightGray"/>
          <w:shd w:val="clear" w:color="auto" w:fill="FFFF00"/>
        </w:rPr>
        <w:t>German, Greek, Hungarian, Italian</w:t>
      </w:r>
      <w:r w:rsidR="00257574"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Latvian, Lithuanian, </w:t>
      </w:r>
      <w:r w:rsidRPr="0077498C">
        <w:rPr>
          <w:rFonts w:ascii="Times New Roman" w:hAnsi="Times New Roman"/>
          <w:b/>
          <w:i/>
          <w:sz w:val="24"/>
          <w:szCs w:val="24"/>
          <w:highlight w:val="lightGray"/>
          <w:shd w:val="clear" w:color="auto" w:fill="FFFF00"/>
        </w:rPr>
        <w:t>Polish, Portuguese, Romanian, Slovak</w:t>
      </w:r>
      <w:r w:rsidR="00D633BF" w:rsidRPr="0077498C">
        <w:rPr>
          <w:rFonts w:ascii="Times New Roman" w:hAnsi="Times New Roman"/>
          <w:b/>
          <w:i/>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Slovenian, </w:t>
      </w:r>
      <w:r w:rsidR="00257574" w:rsidRPr="0077498C">
        <w:rPr>
          <w:rFonts w:ascii="Times New Roman" w:hAnsi="Times New Roman"/>
          <w:b/>
          <w:i/>
          <w:sz w:val="24"/>
          <w:szCs w:val="24"/>
          <w:highlight w:val="lightGray"/>
          <w:shd w:val="clear" w:color="auto" w:fill="FFFF00"/>
        </w:rPr>
        <w:t xml:space="preserve">Spanish </w:t>
      </w:r>
      <w:r w:rsidRPr="0077498C">
        <w:rPr>
          <w:rFonts w:ascii="Times New Roman" w:hAnsi="Times New Roman"/>
          <w:b/>
          <w:i/>
          <w:sz w:val="24"/>
          <w:szCs w:val="24"/>
          <w:highlight w:val="lightGray"/>
          <w:shd w:val="clear" w:color="auto" w:fill="FFFF00"/>
        </w:rPr>
        <w:t>or Swedish (or additional languages once they become available in the Online Linguistic Support (OLS) tool), with the exception of native speakers]</w:t>
      </w:r>
    </w:p>
    <w:p w14:paraId="4C9F5208" w14:textId="77777777" w:rsidR="00B20DB0" w:rsidRDefault="00B20DB0">
      <w:pPr>
        <w:jc w:val="both"/>
        <w:rPr>
          <w:rFonts w:ascii="Times New Roman" w:hAnsi="Times New Roman"/>
          <w:sz w:val="24"/>
          <w:szCs w:val="24"/>
        </w:rPr>
      </w:pPr>
      <w:r>
        <w:rPr>
          <w:rFonts w:ascii="Times New Roman" w:hAnsi="Times New Roman"/>
          <w:i/>
          <w:sz w:val="24"/>
          <w:szCs w:val="24"/>
        </w:rPr>
        <w:lastRenderedPageBreak/>
        <w:t>OLS language assessments</w:t>
      </w:r>
    </w:p>
    <w:p w14:paraId="171AD480" w14:textId="287540F4"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Language assessment licenses are provided for participants undertaking a mobility period for a minimum period of </w:t>
      </w:r>
      <w:r w:rsidRPr="00B578BC">
        <w:rPr>
          <w:rFonts w:ascii="Times New Roman" w:hAnsi="Times New Roman"/>
          <w:sz w:val="24"/>
          <w:szCs w:val="24"/>
        </w:rPr>
        <w:t>two months</w:t>
      </w:r>
      <w:r>
        <w:rPr>
          <w:rFonts w:ascii="Times New Roman" w:hAnsi="Times New Roman"/>
          <w:sz w:val="24"/>
          <w:szCs w:val="24"/>
        </w:rPr>
        <w:t>.</w:t>
      </w:r>
    </w:p>
    <w:p w14:paraId="7B56F2EF" w14:textId="39C0AA6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licences </w:t>
      </w:r>
      <w:r w:rsidR="005D5EBF">
        <w:rPr>
          <w:rFonts w:ascii="Times New Roman" w:hAnsi="Times New Roman"/>
          <w:sz w:val="24"/>
          <w:szCs w:val="24"/>
        </w:rPr>
        <w:t>must</w:t>
      </w:r>
      <w:r>
        <w:rPr>
          <w:rFonts w:ascii="Times New Roman" w:hAnsi="Times New Roman"/>
          <w:sz w:val="24"/>
          <w:szCs w:val="24"/>
        </w:rPr>
        <w:t xml:space="preserve"> be distributed to the participants from </w:t>
      </w:r>
      <w:r w:rsidRPr="00B578BC">
        <w:rPr>
          <w:rFonts w:ascii="Times New Roman" w:hAnsi="Times New Roman"/>
          <w:sz w:val="24"/>
          <w:szCs w:val="24"/>
        </w:rPr>
        <w:t>the sending institution</w:t>
      </w:r>
      <w:r w:rsidR="00C041F3" w:rsidRPr="00B578BC">
        <w:rPr>
          <w:rFonts w:ascii="Times New Roman" w:hAnsi="Times New Roman"/>
          <w:sz w:val="24"/>
          <w:szCs w:val="24"/>
        </w:rPr>
        <w:t>.</w:t>
      </w:r>
      <w:r>
        <w:rPr>
          <w:rFonts w:ascii="Times New Roman" w:hAnsi="Times New Roman"/>
          <w:sz w:val="24"/>
          <w:szCs w:val="24"/>
        </w:rPr>
        <w:t xml:space="preserve"> The beneficiary </w:t>
      </w:r>
      <w:r w:rsidR="005D5EBF">
        <w:rPr>
          <w:rFonts w:ascii="Times New Roman" w:hAnsi="Times New Roman"/>
          <w:sz w:val="24"/>
          <w:szCs w:val="24"/>
        </w:rPr>
        <w:t>must</w:t>
      </w:r>
      <w:r>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distribute the language assessment licences to participants after their selection for the mobility activity.</w:t>
      </w:r>
    </w:p>
    <w:p w14:paraId="51F43F52" w14:textId="4B69F001"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the first OLS language assessment before their mobility period and the second OLS language assessment at the end of their mobility period. </w:t>
      </w:r>
      <w:r w:rsidRPr="00B578BC">
        <w:rPr>
          <w:rFonts w:ascii="Times New Roman" w:hAnsi="Times New Roman"/>
          <w:sz w:val="24"/>
          <w:szCs w:val="24"/>
        </w:rPr>
        <w:t>The completion of the online language assessment before departure is a pre-requisite for the mobility, except in duly justified cases.</w:t>
      </w:r>
    </w:p>
    <w:p w14:paraId="222E1C6F"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The beneficiary will be notified of the assessment results by the service provider.</w:t>
      </w:r>
    </w:p>
    <w:p w14:paraId="5E059A86" w14:textId="77777777" w:rsidR="00B20DB0" w:rsidRDefault="00B20DB0">
      <w:pPr>
        <w:jc w:val="both"/>
        <w:rPr>
          <w:rFonts w:ascii="Times New Roman" w:hAnsi="Times New Roman"/>
          <w:sz w:val="24"/>
          <w:szCs w:val="24"/>
        </w:rPr>
      </w:pPr>
      <w:r>
        <w:rPr>
          <w:rFonts w:ascii="Times New Roman" w:hAnsi="Times New Roman"/>
          <w:i/>
          <w:sz w:val="24"/>
          <w:szCs w:val="24"/>
        </w:rPr>
        <w:t>OLS language courses</w:t>
      </w:r>
    </w:p>
    <w:p w14:paraId="1805FC78"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p>
    <w:p w14:paraId="38B34FC0" w14:textId="57F6973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Licences </w:t>
      </w:r>
      <w:r w:rsidR="005D5EBF">
        <w:rPr>
          <w:rFonts w:ascii="Times New Roman" w:hAnsi="Times New Roman"/>
          <w:sz w:val="24"/>
          <w:szCs w:val="24"/>
        </w:rPr>
        <w:t>must</w:t>
      </w:r>
      <w:r>
        <w:rPr>
          <w:rFonts w:ascii="Times New Roman" w:hAnsi="Times New Roman"/>
          <w:sz w:val="24"/>
          <w:szCs w:val="24"/>
        </w:rPr>
        <w:t xml:space="preserve"> be distributed among the participants from </w:t>
      </w:r>
      <w:r w:rsidRPr="00B578BC">
        <w:rPr>
          <w:rFonts w:ascii="Times New Roman" w:hAnsi="Times New Roman"/>
          <w:sz w:val="24"/>
          <w:szCs w:val="24"/>
        </w:rPr>
        <w:t>the sending institution</w:t>
      </w:r>
      <w:r>
        <w:rPr>
          <w:rFonts w:ascii="Times New Roman" w:hAnsi="Times New Roman"/>
          <w:sz w:val="24"/>
          <w:szCs w:val="24"/>
        </w:rPr>
        <w:t xml:space="preserve"> according to their needs. All participants having taken the language assessment have the opportunity to follow a language course</w:t>
      </w:r>
      <w:r w:rsidR="0060317E">
        <w:rPr>
          <w:rFonts w:ascii="Times New Roman" w:hAnsi="Times New Roman"/>
          <w:sz w:val="24"/>
          <w:szCs w:val="24"/>
        </w:rPr>
        <w:t>, unless the language in question is Irish</w:t>
      </w:r>
      <w:r w:rsidR="00887C3A">
        <w:rPr>
          <w:rFonts w:ascii="Times New Roman" w:hAnsi="Times New Roman"/>
          <w:sz w:val="24"/>
          <w:szCs w:val="24"/>
        </w:rPr>
        <w:t xml:space="preserve"> Gaelic</w:t>
      </w:r>
      <w:r w:rsidR="0060317E">
        <w:rPr>
          <w:rFonts w:ascii="Times New Roman" w:hAnsi="Times New Roman"/>
          <w:sz w:val="24"/>
          <w:szCs w:val="24"/>
        </w:rPr>
        <w:t xml:space="preserve"> or Maltese</w:t>
      </w:r>
      <w:r>
        <w:rPr>
          <w:rFonts w:ascii="Times New Roman" w:hAnsi="Times New Roman"/>
          <w:sz w:val="24"/>
          <w:szCs w:val="24"/>
        </w:rPr>
        <w:t xml:space="preserve">. </w:t>
      </w:r>
    </w:p>
    <w:p w14:paraId="52074F84" w14:textId="330A789A" w:rsidR="00B20DB0" w:rsidRDefault="00B20DB0">
      <w:pPr>
        <w:numPr>
          <w:ilvl w:val="0"/>
          <w:numId w:val="4"/>
        </w:numPr>
        <w:jc w:val="both"/>
        <w:rPr>
          <w:rFonts w:ascii="Times New Roman" w:hAnsi="Times New Roman"/>
          <w:sz w:val="24"/>
          <w:szCs w:val="24"/>
        </w:rPr>
      </w:pPr>
      <w:r>
        <w:rPr>
          <w:rFonts w:ascii="Times New Roman" w:hAnsi="Times New Roman"/>
          <w:sz w:val="24"/>
          <w:szCs w:val="24"/>
        </w:rPr>
        <w:t>Mobility participants with a level of B2 or higher at the first language assessment in their main language of instruction</w:t>
      </w:r>
      <w:r w:rsidR="009D616F">
        <w:rPr>
          <w:rFonts w:ascii="Times New Roman" w:hAnsi="Times New Roman"/>
          <w:sz w:val="24"/>
          <w:szCs w:val="24"/>
        </w:rPr>
        <w:t xml:space="preserve"> or</w:t>
      </w:r>
      <w:r>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beneficiary to indicate this choice in the OLS.</w:t>
      </w:r>
    </w:p>
    <w:p w14:paraId="7D8261D4"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OLS language course licences must be used in the period between the OLS first and second language assessments, before and during the mobility activity of the participants concerned.</w:t>
      </w:r>
    </w:p>
    <w:p w14:paraId="0DEFEAEB"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licences on the basis of the information provided by the service provider.</w:t>
      </w:r>
    </w:p>
    <w:p w14:paraId="4813F83C"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lastRenderedPageBreak/>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Default="00B20DB0">
      <w:pPr>
        <w:jc w:val="both"/>
        <w:rPr>
          <w:rFonts w:ascii="Times New Roman" w:hAnsi="Times New Roman"/>
          <w:sz w:val="24"/>
          <w:szCs w:val="24"/>
        </w:rPr>
      </w:pPr>
      <w:r>
        <w:rPr>
          <w:rFonts w:ascii="Times New Roman" w:hAnsi="Times New Roman"/>
          <w:i/>
          <w:sz w:val="24"/>
          <w:szCs w:val="24"/>
        </w:rPr>
        <w:t>All licences</w:t>
      </w:r>
    </w:p>
    <w:p w14:paraId="100B97A3" w14:textId="77777777" w:rsidR="00B20DB0" w:rsidRDefault="00B20DB0" w:rsidP="0093603A">
      <w:pPr>
        <w:numPr>
          <w:ilvl w:val="0"/>
          <w:numId w:val="6"/>
        </w:numPr>
        <w:jc w:val="both"/>
        <w:rPr>
          <w:rFonts w:ascii="Times New Roman" w:hAnsi="Times New Roman"/>
          <w:sz w:val="24"/>
          <w:szCs w:val="24"/>
        </w:rPr>
      </w:pPr>
      <w:r>
        <w:rPr>
          <w:rFonts w:ascii="Times New Roman" w:hAnsi="Times New Roman"/>
          <w:sz w:val="24"/>
          <w:szCs w:val="24"/>
        </w:rPr>
        <w:t>Mobility participants commit themselves by signing the individual mobility grant agreement to complete both OLS language assessments (before and at the end of the mobility period) and to follow the OLS language course, if awarded.</w:t>
      </w:r>
    </w:p>
    <w:p w14:paraId="27C502A9" w14:textId="77777777" w:rsidR="00B20DB0" w:rsidRDefault="00B20DB0" w:rsidP="0093603A">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14:paraId="4C03DAF2" w14:textId="5BD20541" w:rsidR="00B20DB0" w:rsidRDefault="00B20DB0" w:rsidP="0093603A">
      <w:pPr>
        <w:numPr>
          <w:ilvl w:val="0"/>
          <w:numId w:val="6"/>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licences in the </w:t>
      </w:r>
      <w:r w:rsidRPr="00B578BC">
        <w:rPr>
          <w:rFonts w:ascii="Times New Roman" w:hAnsi="Times New Roman"/>
          <w:sz w:val="24"/>
          <w:szCs w:val="24"/>
        </w:rPr>
        <w:t>interim and</w:t>
      </w:r>
      <w:r>
        <w:rPr>
          <w:rFonts w:ascii="Times New Roman" w:hAnsi="Times New Roman"/>
          <w:sz w:val="24"/>
          <w:szCs w:val="24"/>
        </w:rPr>
        <w:t xml:space="preserve"> final beneficiary report. </w:t>
      </w:r>
    </w:p>
    <w:p w14:paraId="4AF34FAE" w14:textId="0EA8EEFC" w:rsidR="00B20DB0" w:rsidRPr="00906C30" w:rsidRDefault="00B20DB0" w:rsidP="0093603A">
      <w:pPr>
        <w:numPr>
          <w:ilvl w:val="0"/>
          <w:numId w:val="6"/>
        </w:numPr>
        <w:jc w:val="both"/>
        <w:rPr>
          <w:rFonts w:ascii="Times New Roman" w:hAnsi="Times New Roman"/>
          <w:sz w:val="24"/>
          <w:szCs w:val="24"/>
          <w:u w:val="single"/>
          <w:shd w:val="clear" w:color="auto" w:fill="00FFFF"/>
          <w:lang w:val="en-US"/>
        </w:rPr>
      </w:pPr>
      <w:r>
        <w:rPr>
          <w:rFonts w:ascii="Times New Roman" w:hAnsi="Times New Roman"/>
          <w:sz w:val="24"/>
          <w:szCs w:val="24"/>
        </w:rPr>
        <w:t xml:space="preserve">In case of unused or non-allocated licences at the time of </w:t>
      </w:r>
      <w:r w:rsidRPr="00B578BC">
        <w:rPr>
          <w:rFonts w:ascii="Times New Roman" w:hAnsi="Times New Roman"/>
          <w:sz w:val="24"/>
          <w:szCs w:val="24"/>
        </w:rPr>
        <w:t>interim and</w:t>
      </w:r>
      <w:r>
        <w:rPr>
          <w:rFonts w:ascii="Times New Roman" w:hAnsi="Times New Roman"/>
          <w:sz w:val="24"/>
          <w:szCs w:val="24"/>
        </w:rPr>
        <w:t xml:space="preserve"> final beneficiary report, the NA may decide to take this into account for the allocation of the number of licences 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01E4FC16" w14:textId="77777777" w:rsidR="00906C30" w:rsidRDefault="00906C30" w:rsidP="00906C30">
      <w:pPr>
        <w:ind w:left="720"/>
        <w:jc w:val="both"/>
        <w:rPr>
          <w:rFonts w:ascii="Times New Roman" w:hAnsi="Times New Roman"/>
          <w:sz w:val="24"/>
          <w:szCs w:val="24"/>
          <w:u w:val="single"/>
          <w:shd w:val="clear" w:color="auto" w:fill="00FFFF"/>
          <w:lang w:val="en-US"/>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93603A">
      <w:pPr>
        <w:numPr>
          <w:ilvl w:val="0"/>
          <w:numId w:val="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93603A">
      <w:pPr>
        <w:numPr>
          <w:ilvl w:val="0"/>
          <w:numId w:val="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93603A">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93603A">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93603A">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93603A">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93603A">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93603A">
      <w:pPr>
        <w:numPr>
          <w:ilvl w:val="0"/>
          <w:numId w:val="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37611335" w14:textId="77777777" w:rsidR="00B20DB0" w:rsidRPr="005056BD" w:rsidRDefault="00B20DB0" w:rsidP="0093603A">
      <w:pPr>
        <w:numPr>
          <w:ilvl w:val="0"/>
          <w:numId w:val="8"/>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257201E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Calculation of the grant amount: t</w:t>
      </w:r>
      <w:r w:rsidR="00906C30">
        <w:rPr>
          <w:rFonts w:ascii="Times New Roman" w:hAnsi="Times New Roman"/>
          <w:sz w:val="24"/>
          <w:szCs w:val="24"/>
        </w:rPr>
        <w:t xml:space="preserve">he grant is a reimbursement of </w:t>
      </w:r>
      <w:r w:rsidR="00B20DB0" w:rsidRPr="00B578BC">
        <w:rPr>
          <w:rFonts w:ascii="Times New Roman" w:hAnsi="Times New Roman"/>
          <w:sz w:val="24"/>
          <w:szCs w:val="24"/>
        </w:rPr>
        <w:t>up to</w:t>
      </w:r>
      <w:r w:rsidR="00906C30">
        <w:rPr>
          <w:rFonts w:ascii="Times New Roman" w:hAnsi="Times New Roman"/>
          <w:sz w:val="24"/>
          <w:szCs w:val="24"/>
        </w:rPr>
        <w:t xml:space="preserve"> </w:t>
      </w:r>
      <w:r w:rsidR="00B20DB0">
        <w:rPr>
          <w:rFonts w:ascii="Times New Roman" w:hAnsi="Times New Roman"/>
          <w:sz w:val="24"/>
          <w:szCs w:val="24"/>
        </w:rPr>
        <w:t xml:space="preserve">100% of the eligible costs actually incurred. </w:t>
      </w:r>
    </w:p>
    <w:p w14:paraId="247C99BF" w14:textId="09858CEB"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B578BC">
        <w:rPr>
          <w:rFonts w:ascii="Times New Roman" w:hAnsi="Times New Roman"/>
          <w:sz w:val="24"/>
          <w:szCs w:val="24"/>
        </w:rPr>
        <w:t>"individual 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609054FE" w:rsidR="00A72817" w:rsidRPr="001A6C54" w:rsidRDefault="002575FF" w:rsidP="008C2637">
      <w:pPr>
        <w:pStyle w:val="Lijstalinea"/>
        <w:tabs>
          <w:tab w:val="left" w:pos="851"/>
        </w:tabs>
        <w:ind w:left="851"/>
        <w:jc w:val="both"/>
        <w:rPr>
          <w:rFonts w:ascii="Times New Roman" w:eastAsia="Calibri" w:hAnsi="Times New Roman" w:cs="Times New Roman"/>
          <w:sz w:val="24"/>
          <w:szCs w:val="24"/>
        </w:rPr>
      </w:pPr>
      <w:r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906C30">
        <w:rPr>
          <w:rFonts w:ascii="Times New Roman" w:hAnsi="Times New Roman"/>
          <w:sz w:val="24"/>
          <w:szCs w:val="24"/>
        </w:rPr>
        <w:t>ding to article I.3.3.</w:t>
      </w:r>
    </w:p>
    <w:p w14:paraId="68BAD1B3" w14:textId="77777777" w:rsidR="00A72817" w:rsidRPr="00A91FE9" w:rsidRDefault="00A72817" w:rsidP="008C2637">
      <w:pPr>
        <w:pStyle w:val="Lijstalinea"/>
        <w:tabs>
          <w:tab w:val="left" w:pos="851"/>
        </w:tabs>
        <w:ind w:left="851" w:hanging="491"/>
        <w:jc w:val="both"/>
        <w:rPr>
          <w:rFonts w:ascii="Times New Roman" w:hAnsi="Times New Roman"/>
          <w:sz w:val="24"/>
          <w:szCs w:val="24"/>
        </w:rPr>
      </w:pPr>
    </w:p>
    <w:p w14:paraId="620BB583" w14:textId="6529F366"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proofErr w:type="spellStart"/>
      <w:r w:rsidR="00B20DB0">
        <w:rPr>
          <w:rFonts w:ascii="Times New Roman" w:hAnsi="Times New Roman"/>
          <w:sz w:val="24"/>
          <w:szCs w:val="24"/>
        </w:rPr>
        <w:t>costsspecifying</w:t>
      </w:r>
      <w:proofErr w:type="spellEnd"/>
      <w:r w:rsidR="00B20DB0">
        <w:rPr>
          <w:rFonts w:ascii="Times New Roman" w:hAnsi="Times New Roman"/>
          <w:sz w:val="24"/>
          <w:szCs w:val="24"/>
        </w:rPr>
        <w:t xml:space="preserve">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3C95282A" w:rsidR="00B20DB0" w:rsidRDefault="00B20DB0" w:rsidP="0093603A">
      <w:pPr>
        <w:pStyle w:val="Lijstalinea"/>
        <w:numPr>
          <w:ilvl w:val="0"/>
          <w:numId w:val="10"/>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was used for any of the participants with special needs.</w:t>
      </w:r>
    </w:p>
    <w:p w14:paraId="4B9647E8" w14:textId="77777777" w:rsidR="00B20DB0" w:rsidRDefault="00B20DB0" w:rsidP="0093603A">
      <w:pPr>
        <w:pStyle w:val="Lijstalinea"/>
        <w:numPr>
          <w:ilvl w:val="0"/>
          <w:numId w:val="10"/>
        </w:numPr>
        <w:tabs>
          <w:tab w:val="left" w:pos="1134"/>
        </w:tabs>
        <w:ind w:left="1134"/>
        <w:jc w:val="both"/>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056BD" w:rsidRDefault="00B20DB0" w:rsidP="0093603A">
      <w:pPr>
        <w:numPr>
          <w:ilvl w:val="0"/>
          <w:numId w:val="8"/>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7777777" w:rsidR="00B20DB0" w:rsidRPr="001B188D" w:rsidRDefault="00B20DB0" w:rsidP="0093603A">
      <w:pPr>
        <w:numPr>
          <w:ilvl w:val="0"/>
          <w:numId w:val="9"/>
        </w:numPr>
        <w:spacing w:line="100" w:lineRule="atLeast"/>
        <w:jc w:val="both"/>
      </w:pPr>
      <w:r w:rsidRPr="001B188D">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F919A4" w:rsidRPr="001B188D">
        <w:rPr>
          <w:rFonts w:ascii="Times New Roman" w:hAnsi="Times New Roman"/>
          <w:sz w:val="24"/>
          <w:szCs w:val="24"/>
        </w:rPr>
        <w:t xml:space="preserve">eligible </w:t>
      </w:r>
      <w:r w:rsidRPr="001B188D">
        <w:rPr>
          <w:rFonts w:ascii="Times New Roman" w:hAnsi="Times New Roman"/>
          <w:sz w:val="24"/>
          <w:szCs w:val="24"/>
        </w:rPr>
        <w:t>participants</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rsidP="0093603A">
      <w:pPr>
        <w:numPr>
          <w:ilvl w:val="0"/>
          <w:numId w:val="9"/>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93603A">
      <w:pPr>
        <w:pStyle w:val="Lijstalinea"/>
        <w:numPr>
          <w:ilvl w:val="0"/>
          <w:numId w:val="11"/>
        </w:numPr>
        <w:ind w:left="1134"/>
        <w:jc w:val="both"/>
        <w:rPr>
          <w:rFonts w:ascii="Times New Roman" w:hAnsi="Times New Roman"/>
          <w:sz w:val="24"/>
          <w:szCs w:val="24"/>
        </w:rPr>
      </w:pPr>
      <w:r w:rsidRPr="001B188D">
        <w:rPr>
          <w:rFonts w:ascii="Times New Roman" w:hAnsi="Times New Roman"/>
          <w:sz w:val="24"/>
          <w:szCs w:val="24"/>
        </w:rPr>
        <w:lastRenderedPageBreak/>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53A07F46" w:rsidR="00B20DB0" w:rsidRPr="009F56A7" w:rsidRDefault="00B20DB0" w:rsidP="0093603A">
      <w:pPr>
        <w:pStyle w:val="Lijstalinea"/>
        <w:numPr>
          <w:ilvl w:val="0"/>
          <w:numId w:val="11"/>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sidRPr="00B578BC">
        <w:rPr>
          <w:rFonts w:ascii="Times New Roman" w:hAnsi="Times New Roman"/>
          <w:sz w:val="24"/>
          <w:szCs w:val="24"/>
        </w:rPr>
        <w:t xml:space="preserve">This funding can only be awarded to students and to staff </w:t>
      </w:r>
      <w:r w:rsidR="004E5105" w:rsidRPr="00B578BC">
        <w:rPr>
          <w:rFonts w:ascii="Times New Roman" w:hAnsi="Times New Roman"/>
          <w:sz w:val="24"/>
          <w:szCs w:val="24"/>
        </w:rPr>
        <w:t xml:space="preserve">if they are eligible for the standard travel 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906C30">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the standard travel grant.</w:t>
      </w:r>
    </w:p>
    <w:p w14:paraId="294FC4AF" w14:textId="77777777" w:rsidR="00A72817" w:rsidRDefault="00A72817" w:rsidP="009F56A7">
      <w:pPr>
        <w:pStyle w:val="Lijstalinea"/>
        <w:rPr>
          <w:rFonts w:ascii="Times New Roman" w:hAnsi="Times New Roman"/>
          <w:sz w:val="24"/>
          <w:szCs w:val="24"/>
        </w:rPr>
      </w:pPr>
    </w:p>
    <w:p w14:paraId="52BDB2F7" w14:textId="11EAA42E" w:rsidR="00A72817" w:rsidRPr="00906C30" w:rsidRDefault="00637C67" w:rsidP="0093603A">
      <w:pPr>
        <w:pStyle w:val="Lijstalinea"/>
        <w:numPr>
          <w:ilvl w:val="0"/>
          <w:numId w:val="11"/>
        </w:numPr>
        <w:ind w:left="1134"/>
        <w:jc w:val="both"/>
        <w:rPr>
          <w:rFonts w:ascii="Times New Roman" w:hAnsi="Times New Roman"/>
          <w:sz w:val="24"/>
          <w:szCs w:val="24"/>
        </w:rPr>
      </w:pPr>
      <w:r w:rsidRPr="00906C30">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w:t>
      </w:r>
      <w:r w:rsidR="008A4457" w:rsidRPr="00906C30">
        <w:rPr>
          <w:rFonts w:ascii="Times New Roman" w:hAnsi="Times New Roman"/>
          <w:sz w:val="24"/>
          <w:szCs w:val="24"/>
        </w:rPr>
        <w:t>sfer according to article I.3.3</w:t>
      </w:r>
      <w:r w:rsidR="00906C30" w:rsidRPr="00906C30">
        <w:rPr>
          <w:rFonts w:ascii="Times New Roman" w:hAnsi="Times New Roman"/>
          <w:sz w:val="24"/>
          <w:szCs w:val="24"/>
        </w:rPr>
        <w:t>.</w:t>
      </w: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93603A">
      <w:pPr>
        <w:pStyle w:val="Lijstalinea"/>
        <w:numPr>
          <w:ilvl w:val="0"/>
          <w:numId w:val="9"/>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jstalinea"/>
        <w:jc w:val="both"/>
        <w:rPr>
          <w:rFonts w:ascii="Times New Roman" w:hAnsi="Times New Roman"/>
          <w:sz w:val="24"/>
          <w:szCs w:val="24"/>
        </w:rPr>
      </w:pPr>
    </w:p>
    <w:p w14:paraId="390F3DA8" w14:textId="77777777" w:rsidR="00B20DB0" w:rsidRDefault="00B20DB0" w:rsidP="0093603A">
      <w:pPr>
        <w:pStyle w:val="Lijstalinea"/>
        <w:numPr>
          <w:ilvl w:val="0"/>
          <w:numId w:val="12"/>
        </w:numPr>
        <w:ind w:left="1134"/>
        <w:jc w:val="both"/>
        <w:rPr>
          <w:rFonts w:ascii="Times New Roman" w:hAnsi="Times New Roman"/>
          <w:sz w:val="24"/>
          <w:szCs w:val="24"/>
        </w:rPr>
      </w:pPr>
      <w:r>
        <w:rPr>
          <w:rFonts w:ascii="Times New Roman" w:hAnsi="Times New Roman"/>
          <w:sz w:val="24"/>
          <w:szCs w:val="24"/>
        </w:rPr>
        <w:t xml:space="preserve">proof of the cost </w:t>
      </w:r>
      <w:r w:rsidR="00E03BF5">
        <w:rPr>
          <w:rFonts w:ascii="Times New Roman" w:hAnsi="Times New Roman"/>
          <w:sz w:val="24"/>
          <w:szCs w:val="24"/>
        </w:rPr>
        <w:t xml:space="preserve">of </w:t>
      </w:r>
      <w:r>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jstalinea"/>
        <w:ind w:left="1134"/>
        <w:jc w:val="both"/>
        <w:rPr>
          <w:rFonts w:ascii="Times New Roman" w:hAnsi="Times New Roman"/>
          <w:sz w:val="24"/>
          <w:szCs w:val="24"/>
        </w:rPr>
      </w:pPr>
    </w:p>
    <w:p w14:paraId="6FBB872C" w14:textId="56814BB0" w:rsidR="00545991" w:rsidRPr="00906C30" w:rsidRDefault="00B20DB0" w:rsidP="0093603A">
      <w:pPr>
        <w:pStyle w:val="Lijstalinea"/>
        <w:numPr>
          <w:ilvl w:val="0"/>
          <w:numId w:val="12"/>
        </w:numPr>
        <w:tabs>
          <w:tab w:val="left" w:pos="851"/>
        </w:tabs>
        <w:ind w:left="1134"/>
        <w:jc w:val="both"/>
        <w:rPr>
          <w:rFonts w:ascii="Times New Roman" w:hAnsi="Times New Roman"/>
          <w:sz w:val="24"/>
          <w:szCs w:val="24"/>
        </w:rPr>
      </w:pPr>
      <w:r w:rsidRPr="00906C30">
        <w:rPr>
          <w:rFonts w:ascii="Times New Roman" w:hAnsi="Times New Roman"/>
          <w:sz w:val="24"/>
          <w:szCs w:val="24"/>
        </w:rPr>
        <w:t xml:space="preserve">In the case of </w:t>
      </w:r>
      <w:r w:rsidR="00A36864" w:rsidRPr="00906C30">
        <w:rPr>
          <w:rFonts w:ascii="Times New Roman" w:hAnsi="Times New Roman"/>
          <w:sz w:val="24"/>
          <w:szCs w:val="24"/>
        </w:rPr>
        <w:t xml:space="preserve">travel costs: </w:t>
      </w:r>
      <w:r w:rsidRPr="00906C30">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906C30">
        <w:rPr>
          <w:rFonts w:ascii="Times New Roman" w:hAnsi="Times New Roman"/>
          <w:sz w:val="24"/>
          <w:szCs w:val="24"/>
        </w:rPr>
        <w:t xml:space="preserve"> and</w:t>
      </w:r>
      <w:r w:rsidR="004E5105" w:rsidRPr="00906C30">
        <w:rPr>
          <w:rFonts w:ascii="Times New Roman" w:hAnsi="Times New Roman"/>
          <w:sz w:val="24"/>
          <w:szCs w:val="24"/>
        </w:rPr>
        <w:t xml:space="preserve"> the travel route</w:t>
      </w:r>
      <w:r w:rsidR="00906C30" w:rsidRPr="00906C30">
        <w:rPr>
          <w:rFonts w:ascii="Times New Roman" w:hAnsi="Times New Roman"/>
          <w:sz w:val="24"/>
          <w:szCs w:val="24"/>
        </w:rPr>
        <w:t>.</w:t>
      </w:r>
    </w:p>
    <w:p w14:paraId="083D9B9F" w14:textId="77777777" w:rsidR="00B20DB0" w:rsidRDefault="00B20DB0">
      <w:pPr>
        <w:pStyle w:val="Lijstalinea"/>
        <w:tabs>
          <w:tab w:val="left" w:pos="851"/>
        </w:tabs>
        <w:jc w:val="both"/>
        <w:rPr>
          <w:rFonts w:ascii="Times New Roman" w:hAnsi="Times New Roman"/>
          <w:sz w:val="24"/>
          <w:szCs w:val="24"/>
        </w:rPr>
      </w:pPr>
    </w:p>
    <w:p w14:paraId="442ACB10" w14:textId="1D6EBB06" w:rsidR="00B20DB0" w:rsidRDefault="00B20DB0" w:rsidP="0093603A">
      <w:pPr>
        <w:pStyle w:val="Lijstalinea"/>
        <w:numPr>
          <w:ilvl w:val="0"/>
          <w:numId w:val="9"/>
        </w:numPr>
        <w:jc w:val="both"/>
        <w:rPr>
          <w:rFonts w:ascii="Times New Roman" w:hAnsi="Times New Roman"/>
          <w:sz w:val="24"/>
          <w:szCs w:val="24"/>
        </w:rPr>
      </w:pPr>
      <w:r w:rsidRPr="00B578BC">
        <w:rPr>
          <w:rFonts w:ascii="Times New Roman" w:hAnsi="Times New Roman"/>
          <w:sz w:val="24"/>
          <w:szCs w:val="24"/>
        </w:rPr>
        <w:t>Reporting:</w:t>
      </w:r>
    </w:p>
    <w:p w14:paraId="3C099ED6" w14:textId="77777777" w:rsidR="00906C30" w:rsidRPr="00906C30" w:rsidRDefault="00906C30" w:rsidP="00906C30">
      <w:pPr>
        <w:pStyle w:val="Lijstalinea"/>
        <w:jc w:val="both"/>
        <w:rPr>
          <w:rFonts w:ascii="Times New Roman" w:hAnsi="Times New Roman"/>
          <w:sz w:val="24"/>
          <w:szCs w:val="24"/>
        </w:rPr>
      </w:pPr>
    </w:p>
    <w:p w14:paraId="38BCFC68" w14:textId="77777777" w:rsidR="00B20DB0" w:rsidRPr="0083055A" w:rsidRDefault="00B20DB0" w:rsidP="0093603A">
      <w:pPr>
        <w:pStyle w:val="Lijstalinea"/>
        <w:numPr>
          <w:ilvl w:val="0"/>
          <w:numId w:val="19"/>
        </w:numPr>
        <w:ind w:left="1134"/>
        <w:jc w:val="both"/>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52BE238" w14:textId="77777777" w:rsidR="0083055A" w:rsidRDefault="0083055A" w:rsidP="005836C2">
      <w:pPr>
        <w:pStyle w:val="Lijstalinea"/>
        <w:ind w:left="1134"/>
        <w:jc w:val="both"/>
      </w:pPr>
    </w:p>
    <w:p w14:paraId="3F926046" w14:textId="3A184FC2" w:rsidR="00B20DB0" w:rsidRPr="003F2959" w:rsidRDefault="00B20DB0" w:rsidP="0093603A">
      <w:pPr>
        <w:pStyle w:val="Lijstalinea"/>
        <w:numPr>
          <w:ilvl w:val="0"/>
          <w:numId w:val="19"/>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w:t>
      </w:r>
      <w:r w:rsidR="00E03BF5">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amount of related costs incurred.</w:t>
      </w:r>
    </w:p>
    <w:p w14:paraId="6D8446C7" w14:textId="77777777" w:rsidR="00545991" w:rsidRDefault="00545991" w:rsidP="005F605C">
      <w:pPr>
        <w:pStyle w:val="Lijstalinea"/>
        <w:tabs>
          <w:tab w:val="left" w:pos="851"/>
        </w:tabs>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4231F6">
      <w:pPr>
        <w:numPr>
          <w:ilvl w:val="0"/>
          <w:numId w:val="13"/>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4231F6">
      <w:pPr>
        <w:numPr>
          <w:ilvl w:val="0"/>
          <w:numId w:val="13"/>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lastRenderedPageBreak/>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77777777" w:rsidR="00B20DB0" w:rsidRDefault="00B20DB0" w:rsidP="004231F6">
      <w:pPr>
        <w:numPr>
          <w:ilvl w:val="0"/>
          <w:numId w:val="13"/>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74B61BF3" w14:textId="77777777" w:rsidR="00B20DB0" w:rsidRDefault="00B20DB0">
      <w:pPr>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2E556E56" w14:textId="77777777" w:rsidR="00B20DB0" w:rsidRDefault="00B20DB0" w:rsidP="004231F6">
      <w:pPr>
        <w:numPr>
          <w:ilvl w:val="0"/>
          <w:numId w:val="26"/>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4231F6">
      <w:pPr>
        <w:numPr>
          <w:ilvl w:val="0"/>
          <w:numId w:val="26"/>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4231F6">
      <w:pPr>
        <w:numPr>
          <w:ilvl w:val="0"/>
          <w:numId w:val="26"/>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2D5DACC3" w:rsidR="00B20DB0" w:rsidRDefault="00B20DB0" w:rsidP="004231F6">
      <w:pPr>
        <w:numPr>
          <w:ilvl w:val="0"/>
          <w:numId w:val="26"/>
        </w:numPr>
        <w:jc w:val="both"/>
        <w:rPr>
          <w:rFonts w:ascii="Times New Roman" w:hAnsi="Times New Roman"/>
          <w:sz w:val="24"/>
          <w:szCs w:val="24"/>
        </w:rPr>
      </w:pPr>
      <w:r>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Pr="00B578BC">
        <w:rPr>
          <w:rFonts w:ascii="Times New Roman" w:hAnsi="Times New Roman"/>
          <w:sz w:val="24"/>
          <w:szCs w:val="24"/>
        </w:rPr>
        <w:t>recommend to the European Commission to withdraw the Erasmus Charter for Higher Education of the beneficiary.</w:t>
      </w:r>
    </w:p>
    <w:p w14:paraId="4B3B4B87" w14:textId="77777777" w:rsidR="00B20DB0" w:rsidRDefault="00B20DB0" w:rsidP="004231F6">
      <w:pPr>
        <w:numPr>
          <w:ilvl w:val="0"/>
          <w:numId w:val="26"/>
        </w:numPr>
        <w:jc w:val="both"/>
      </w:pPr>
      <w:r>
        <w:rPr>
          <w:rFonts w:ascii="Times New Roman" w:hAnsi="Times New Roman"/>
          <w:sz w:val="24"/>
          <w:szCs w:val="24"/>
        </w:rPr>
        <w:t>The final report will be assessed in conjunction with the reports from the mobility participants, using a common set of quality criteria focusing on:</w:t>
      </w:r>
    </w:p>
    <w:p w14:paraId="77F7B222" w14:textId="75E8D516" w:rsidR="00B20DB0" w:rsidRDefault="003625B0">
      <w:pPr>
        <w:ind w:left="720"/>
        <w:jc w:val="both"/>
      </w:pPr>
      <w:r w:rsidRPr="00B578BC">
        <w:rPr>
          <w:rFonts w:ascii="Times New Roman" w:hAnsi="Times New Roman"/>
          <w:sz w:val="24"/>
          <w:szCs w:val="24"/>
          <w:u w:val="single"/>
        </w:rPr>
        <w:t>For</w:t>
      </w:r>
      <w:r w:rsidR="00B20DB0" w:rsidRPr="00B578BC">
        <w:rPr>
          <w:rFonts w:ascii="Times New Roman" w:hAnsi="Times New Roman"/>
          <w:sz w:val="24"/>
          <w:szCs w:val="24"/>
          <w:u w:val="single"/>
        </w:rPr>
        <w:t xml:space="preserve"> accredited organisations:</w:t>
      </w:r>
    </w:p>
    <w:p w14:paraId="7479BF67" w14:textId="2D1CACF8" w:rsidR="00B20DB0" w:rsidRDefault="00B20DB0" w:rsidP="004231F6">
      <w:pPr>
        <w:numPr>
          <w:ilvl w:val="1"/>
          <w:numId w:val="31"/>
        </w:numPr>
        <w:jc w:val="both"/>
      </w:pPr>
      <w:r>
        <w:rPr>
          <w:rFonts w:ascii="Times New Roman" w:hAnsi="Times New Roman"/>
          <w:sz w:val="24"/>
          <w:szCs w:val="24"/>
        </w:rPr>
        <w:t>The extent to which the action was implemented in line with the</w:t>
      </w:r>
      <w:r w:rsidR="00906C30">
        <w:rPr>
          <w:rFonts w:ascii="Times New Roman" w:hAnsi="Times New Roman"/>
          <w:sz w:val="24"/>
          <w:szCs w:val="24"/>
        </w:rPr>
        <w:t xml:space="preserve"> </w:t>
      </w:r>
      <w:r w:rsidRPr="00B578BC">
        <w:rPr>
          <w:rFonts w:ascii="Times New Roman" w:hAnsi="Times New Roman"/>
          <w:sz w:val="24"/>
          <w:szCs w:val="24"/>
        </w:rPr>
        <w:t>grant agreement</w:t>
      </w:r>
      <w:r>
        <w:rPr>
          <w:rFonts w:ascii="Times New Roman" w:hAnsi="Times New Roman"/>
          <w:sz w:val="24"/>
          <w:szCs w:val="24"/>
        </w:rPr>
        <w:t>.</w:t>
      </w:r>
    </w:p>
    <w:p w14:paraId="7DB0D8C3" w14:textId="458398F0" w:rsidR="00B20DB0" w:rsidRDefault="00B20DB0" w:rsidP="004231F6">
      <w:pPr>
        <w:numPr>
          <w:ilvl w:val="1"/>
          <w:numId w:val="31"/>
        </w:numPr>
        <w:jc w:val="both"/>
        <w:rPr>
          <w:rFonts w:ascii="Times New Roman" w:hAnsi="Times New Roman"/>
          <w:sz w:val="24"/>
          <w:szCs w:val="24"/>
        </w:rPr>
      </w:pPr>
      <w:r>
        <w:rPr>
          <w:rFonts w:ascii="Times New Roman" w:hAnsi="Times New Roman"/>
          <w:sz w:val="24"/>
          <w:szCs w:val="24"/>
        </w:rPr>
        <w:lastRenderedPageBreak/>
        <w:t xml:space="preserve">The extent to which the action was implemented in respect of the quality and compliance requirements set out in the </w:t>
      </w:r>
      <w:r w:rsidRPr="00B578BC">
        <w:rPr>
          <w:rFonts w:ascii="Times New Roman" w:hAnsi="Times New Roman"/>
          <w:sz w:val="24"/>
          <w:szCs w:val="24"/>
        </w:rPr>
        <w:t>Erasmus Charter for Higher Education</w:t>
      </w:r>
      <w:r w:rsidR="00C8139D">
        <w:rPr>
          <w:rFonts w:ascii="Times New Roman" w:hAnsi="Times New Roman"/>
          <w:sz w:val="24"/>
          <w:szCs w:val="24"/>
        </w:rPr>
        <w:t>.</w:t>
      </w:r>
    </w:p>
    <w:p w14:paraId="0478A4E8" w14:textId="4F06CF9E" w:rsidR="00B20DB0" w:rsidRDefault="00B20DB0" w:rsidP="004231F6">
      <w:pPr>
        <w:numPr>
          <w:ilvl w:val="1"/>
          <w:numId w:val="31"/>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235B19B2" w14:textId="77777777"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final amount of eligible expenses for organisational support and may be of:</w:t>
      </w:r>
    </w:p>
    <w:p w14:paraId="78F58B17" w14:textId="77777777" w:rsidR="00B20DB0" w:rsidRDefault="00B20DB0" w:rsidP="004231F6">
      <w:pPr>
        <w:numPr>
          <w:ilvl w:val="1"/>
          <w:numId w:val="33"/>
        </w:numPr>
        <w:tabs>
          <w:tab w:val="left" w:pos="1418"/>
        </w:tabs>
        <w:jc w:val="both"/>
      </w:pPr>
      <w:r>
        <w:rPr>
          <w:rFonts w:ascii="Times New Roman" w:hAnsi="Times New Roman"/>
          <w:sz w:val="24"/>
          <w:szCs w:val="24"/>
        </w:rPr>
        <w:t>25% if the final report scores at least 40 points and below 50 points;</w:t>
      </w:r>
    </w:p>
    <w:p w14:paraId="7EE5F1DB" w14:textId="5D6B61B2" w:rsidR="00B20DB0" w:rsidRDefault="00B20DB0" w:rsidP="004231F6">
      <w:pPr>
        <w:numPr>
          <w:ilvl w:val="1"/>
          <w:numId w:val="33"/>
        </w:numPr>
        <w:tabs>
          <w:tab w:val="left" w:pos="1418"/>
        </w:tabs>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7B8FC2FA" w14:textId="546EBA4C" w:rsidR="00330AF0" w:rsidRDefault="00D51FDB" w:rsidP="004231F6">
      <w:pPr>
        <w:numPr>
          <w:ilvl w:val="1"/>
          <w:numId w:val="33"/>
        </w:numPr>
        <w:tabs>
          <w:tab w:val="left" w:pos="1418"/>
        </w:tabs>
        <w:jc w:val="both"/>
        <w:rPr>
          <w:rFonts w:ascii="Times New Roman" w:hAnsi="Times New Roman"/>
          <w:sz w:val="24"/>
          <w:szCs w:val="24"/>
        </w:rPr>
      </w:pPr>
      <w:r>
        <w:rPr>
          <w:rFonts w:ascii="Times New Roman" w:hAnsi="Times New Roman"/>
          <w:sz w:val="24"/>
          <w:szCs w:val="24"/>
        </w:rPr>
        <w:t xml:space="preserve">75% if the final report scores </w:t>
      </w:r>
      <w:r w:rsidR="00350435">
        <w:rPr>
          <w:rFonts w:ascii="Times New Roman" w:hAnsi="Times New Roman"/>
          <w:sz w:val="24"/>
          <w:szCs w:val="24"/>
        </w:rPr>
        <w:t>below 25 points.</w:t>
      </w: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27EF7248" w:rsidR="00B20DB0"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 xml:space="preserve">V. GRANT MODIFICATIONS </w:t>
      </w: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4A177F02" w14:textId="5ED342A2" w:rsidR="00821EBD" w:rsidRPr="00DB349E" w:rsidRDefault="00B20DB0">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(b) Grant increase for special needs</w:t>
      </w:r>
      <w:r w:rsidR="00545075">
        <w:rPr>
          <w:rFonts w:ascii="Times New Roman" w:hAnsi="Times New Roman"/>
          <w:sz w:val="24"/>
          <w:szCs w:val="24"/>
          <w:u w:val="single"/>
        </w:rPr>
        <w:t xml:space="preserve"> support and exceptional costs</w:t>
      </w:r>
    </w:p>
    <w:p w14:paraId="7A35DB94" w14:textId="77777777" w:rsidR="00B20DB0" w:rsidRDefault="00B20DB0">
      <w:pPr>
        <w:widowControl w:val="0"/>
        <w:spacing w:after="0" w:line="273" w:lineRule="auto"/>
        <w:jc w:val="both"/>
      </w:pPr>
    </w:p>
    <w:p w14:paraId="7F35AA02" w14:textId="77777777" w:rsidR="00B20DB0" w:rsidRDefault="00B20DB0" w:rsidP="004231F6">
      <w:pPr>
        <w:numPr>
          <w:ilvl w:val="0"/>
          <w:numId w:val="14"/>
        </w:numPr>
        <w:jc w:val="both"/>
        <w:rPr>
          <w:rFonts w:ascii="Times New Roman" w:hAnsi="Times New Roman"/>
          <w:sz w:val="24"/>
          <w:szCs w:val="24"/>
        </w:rPr>
      </w:pPr>
      <w:r>
        <w:rPr>
          <w:rFonts w:ascii="Times New Roman" w:hAnsi="Times New Roman"/>
          <w:sz w:val="24"/>
          <w:szCs w:val="24"/>
        </w:rPr>
        <w:t xml:space="preserve">As there is no provision for requesting special needs 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13E7A">
        <w:rPr>
          <w:rFonts w:ascii="Times New Roman" w:hAnsi="Times New Roman"/>
          <w:sz w:val="24"/>
          <w:szCs w:val="24"/>
        </w:rPr>
        <w:t xml:space="preserve">special needs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4CD1C736" w:rsidR="00B20DB0" w:rsidRDefault="00B20DB0" w:rsidP="004231F6">
      <w:pPr>
        <w:numPr>
          <w:ilvl w:val="0"/>
          <w:numId w:val="14"/>
        </w:numPr>
        <w:jc w:val="both"/>
        <w:rPr>
          <w:rFonts w:ascii="Times New Roman" w:hAnsi="Times New Roman"/>
          <w:sz w:val="24"/>
          <w:szCs w:val="24"/>
          <w:u w:val="single"/>
          <w:shd w:val="clear" w:color="auto" w:fill="00FFFF"/>
        </w:rPr>
      </w:pPr>
      <w:r>
        <w:rPr>
          <w:rFonts w:ascii="Times New Roman" w:hAnsi="Times New Roman"/>
          <w:sz w:val="24"/>
          <w:szCs w:val="24"/>
        </w:rPr>
        <w:lastRenderedPageBreak/>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2B04209D"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w:t>
      </w:r>
      <w:r w:rsidR="00C8139D">
        <w:rPr>
          <w:rFonts w:ascii="Times New Roman" w:hAnsi="Times New Roman"/>
          <w:sz w:val="24"/>
          <w:szCs w:val="24"/>
        </w:rPr>
        <w:t xml:space="preserve"> in relation to the Agreement. </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Default="00B20DB0" w:rsidP="004231F6">
      <w:pPr>
        <w:pStyle w:val="Lijstalinea"/>
        <w:numPr>
          <w:ilvl w:val="0"/>
          <w:numId w:val="16"/>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rsidP="004231F6">
      <w:pPr>
        <w:pStyle w:val="Lijstalinea"/>
        <w:numPr>
          <w:ilvl w:val="0"/>
          <w:numId w:val="15"/>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rsidP="004231F6">
      <w:pPr>
        <w:pStyle w:val="Lijstalinea"/>
        <w:numPr>
          <w:ilvl w:val="1"/>
          <w:numId w:val="15"/>
        </w:numPr>
        <w:jc w:val="both"/>
      </w:pPr>
      <w:r>
        <w:rPr>
          <w:rFonts w:ascii="Times New Roman" w:hAnsi="Times New Roman"/>
          <w:kern w:val="1"/>
          <w:sz w:val="24"/>
          <w:szCs w:val="24"/>
        </w:rPr>
        <w:t>Travel</w:t>
      </w:r>
    </w:p>
    <w:p w14:paraId="728AF932" w14:textId="3F1BBE54" w:rsidR="00B20DB0" w:rsidRDefault="00B20DB0" w:rsidP="004231F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Individual support</w:t>
      </w:r>
    </w:p>
    <w:p w14:paraId="5886E6DA" w14:textId="77777777" w:rsidR="00B20DB0" w:rsidRDefault="00B20DB0" w:rsidP="004231F6">
      <w:pPr>
        <w:pStyle w:val="Lijstalinea"/>
        <w:numPr>
          <w:ilvl w:val="1"/>
          <w:numId w:val="15"/>
        </w:numPr>
        <w:jc w:val="both"/>
      </w:pPr>
      <w:r>
        <w:rPr>
          <w:rFonts w:ascii="Times New Roman" w:hAnsi="Times New Roman"/>
          <w:kern w:val="1"/>
          <w:sz w:val="24"/>
          <w:szCs w:val="24"/>
        </w:rPr>
        <w:t>Organisational support</w:t>
      </w:r>
    </w:p>
    <w:p w14:paraId="72A8F3EF" w14:textId="58264508" w:rsidR="00B20DB0" w:rsidRDefault="00B20DB0" w:rsidP="004231F6">
      <w:pPr>
        <w:pStyle w:val="Lijstalinea"/>
        <w:numPr>
          <w:ilvl w:val="1"/>
          <w:numId w:val="15"/>
        </w:numPr>
        <w:jc w:val="both"/>
        <w:rPr>
          <w:rFonts w:ascii="Times New Roman" w:hAnsi="Times New Roman"/>
          <w:kern w:val="1"/>
          <w:sz w:val="24"/>
          <w:szCs w:val="24"/>
        </w:rPr>
      </w:pPr>
      <w:r w:rsidRPr="00B578BC">
        <w:rPr>
          <w:rFonts w:ascii="Times New Roman" w:hAnsi="Times New Roman"/>
          <w:kern w:val="1"/>
          <w:sz w:val="24"/>
          <w:szCs w:val="24"/>
        </w:rPr>
        <w:lastRenderedPageBreak/>
        <w:t>Linguistic support</w:t>
      </w:r>
    </w:p>
    <w:p w14:paraId="56A31A93" w14:textId="77777777" w:rsidR="00B20DB0" w:rsidRDefault="00B20DB0">
      <w:pPr>
        <w:pStyle w:val="Lijstalinea"/>
        <w:jc w:val="both"/>
        <w:rPr>
          <w:rFonts w:ascii="Times New Roman" w:hAnsi="Times New Roman"/>
          <w:kern w:val="1"/>
          <w:sz w:val="24"/>
          <w:szCs w:val="24"/>
        </w:rPr>
      </w:pPr>
    </w:p>
    <w:p w14:paraId="4A3F51E4" w14:textId="77777777" w:rsidR="00B20DB0" w:rsidRDefault="00B20DB0" w:rsidP="004231F6">
      <w:pPr>
        <w:pStyle w:val="Lijstalinea"/>
        <w:numPr>
          <w:ilvl w:val="0"/>
          <w:numId w:val="15"/>
        </w:numPr>
        <w:jc w:val="both"/>
      </w:pPr>
      <w:r>
        <w:rPr>
          <w:rFonts w:ascii="Times New Roman" w:hAnsi="Times New Roman"/>
          <w:kern w:val="1"/>
          <w:sz w:val="24"/>
          <w:szCs w:val="24"/>
        </w:rPr>
        <w:t>Actual costs incurred for budget category:</w:t>
      </w:r>
    </w:p>
    <w:p w14:paraId="7A358585" w14:textId="77777777" w:rsidR="00B20DB0" w:rsidRDefault="00B20DB0" w:rsidP="004231F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jstalinea"/>
        <w:jc w:val="both"/>
        <w:rPr>
          <w:rFonts w:ascii="Times New Roman" w:hAnsi="Times New Roman"/>
          <w:kern w:val="1"/>
          <w:sz w:val="24"/>
          <w:szCs w:val="24"/>
        </w:rPr>
      </w:pPr>
    </w:p>
    <w:p w14:paraId="0B2EA83D" w14:textId="77777777" w:rsidR="00B20DB0" w:rsidRDefault="00B20DB0" w:rsidP="004231F6">
      <w:pPr>
        <w:pStyle w:val="Lijstalinea"/>
        <w:numPr>
          <w:ilvl w:val="0"/>
          <w:numId w:val="15"/>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rsidP="004231F6">
      <w:pPr>
        <w:pStyle w:val="Lijstalinea"/>
        <w:numPr>
          <w:ilvl w:val="1"/>
          <w:numId w:val="15"/>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jstalinea"/>
        <w:ind w:left="0"/>
        <w:jc w:val="both"/>
        <w:rPr>
          <w:rFonts w:ascii="Times New Roman" w:hAnsi="Times New Roman" w:cs="Times New Roman"/>
          <w:kern w:val="1"/>
          <w:sz w:val="24"/>
          <w:szCs w:val="24"/>
        </w:rPr>
      </w:pPr>
    </w:p>
    <w:p w14:paraId="4BA52273" w14:textId="77777777" w:rsidR="00B20DB0" w:rsidRDefault="00B20DB0" w:rsidP="004231F6">
      <w:pPr>
        <w:pStyle w:val="Lijstalinea"/>
        <w:numPr>
          <w:ilvl w:val="0"/>
          <w:numId w:val="16"/>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rsidP="004231F6">
      <w:pPr>
        <w:pStyle w:val="Lijstalinea"/>
        <w:numPr>
          <w:ilvl w:val="0"/>
          <w:numId w:val="16"/>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4231F6">
      <w:pPr>
        <w:numPr>
          <w:ilvl w:val="0"/>
          <w:numId w:val="23"/>
        </w:numPr>
        <w:ind w:left="426" w:hanging="284"/>
        <w:jc w:val="both"/>
      </w:pPr>
      <w:r>
        <w:rPr>
          <w:rFonts w:ascii="Times New Roman" w:eastAsia="SimSun" w:hAnsi="Times New Roman"/>
          <w:b/>
          <w:i/>
          <w:kern w:val="1"/>
          <w:sz w:val="24"/>
          <w:szCs w:val="24"/>
        </w:rPr>
        <w:t>On-the-spot check during project implementation</w:t>
      </w:r>
    </w:p>
    <w:p w14:paraId="0BEC280A" w14:textId="1E40DFBD"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w:t>
      </w:r>
      <w:r w:rsidR="00C8139D">
        <w:rPr>
          <w:rFonts w:ascii="Times New Roman" w:eastAsia="SimSun" w:hAnsi="Times New Roman"/>
          <w:kern w:val="1"/>
          <w:sz w:val="24"/>
          <w:szCs w:val="24"/>
        </w:rPr>
        <w:t>t activities and participants.</w:t>
      </w:r>
    </w:p>
    <w:p w14:paraId="7DC8B3D6" w14:textId="77777777" w:rsidR="00B20DB0" w:rsidRDefault="00B20DB0" w:rsidP="004231F6">
      <w:pPr>
        <w:numPr>
          <w:ilvl w:val="0"/>
          <w:numId w:val="23"/>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115223A9" w14:textId="77777777" w:rsidR="00B20DB0" w:rsidRDefault="00B20DB0" w:rsidP="004231F6">
      <w:pPr>
        <w:numPr>
          <w:ilvl w:val="0"/>
          <w:numId w:val="23"/>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75C4165D" w14:textId="6192FAF3" w:rsidR="00B20DB0" w:rsidRDefault="007748EF"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C8139D">
        <w:rPr>
          <w:rFonts w:ascii="Times New Roman" w:eastAsia="SimSun" w:hAnsi="Times New Roman"/>
          <w:kern w:val="1"/>
          <w:sz w:val="24"/>
          <w:szCs w:val="24"/>
        </w:rPr>
        <w:t>.</w:t>
      </w:r>
      <w:r w:rsidR="002038DD">
        <w:rPr>
          <w:rFonts w:ascii="Times New Roman" w:hAnsi="Times New Roman"/>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bookmarkStart w:id="0" w:name="_GoBack"/>
      <w:bookmarkEnd w:id="0"/>
      <w:r w:rsidR="00B20DB0">
        <w:rPr>
          <w:rFonts w:ascii="Times New Roman" w:eastAsia="SimSun" w:hAnsi="Times New Roman"/>
          <w:kern w:val="1"/>
          <w:sz w:val="24"/>
          <w:szCs w:val="24"/>
        </w:rPr>
        <w:lastRenderedPageBreak/>
        <w:t>National Agency to verify the reality and eligibility of all project activities and participants.</w:t>
      </w:r>
    </w:p>
    <w:sectPr w:rsidR="00B20DB0" w:rsidSect="00E66DE7">
      <w:footerReference w:type="defaul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6235" w14:textId="77777777" w:rsidR="004E71B9" w:rsidRDefault="004E71B9">
      <w:pPr>
        <w:spacing w:after="0" w:line="240" w:lineRule="auto"/>
      </w:pPr>
      <w:r>
        <w:separator/>
      </w:r>
    </w:p>
  </w:endnote>
  <w:endnote w:type="continuationSeparator" w:id="0">
    <w:p w14:paraId="5DA4D7EA" w14:textId="77777777" w:rsidR="004E71B9" w:rsidRDefault="004E71B9">
      <w:pPr>
        <w:spacing w:after="0" w:line="240" w:lineRule="auto"/>
      </w:pPr>
      <w:r>
        <w:continuationSeparator/>
      </w:r>
    </w:p>
  </w:endnote>
  <w:endnote w:type="continuationNotice" w:id="1">
    <w:p w14:paraId="3BFA562D" w14:textId="77777777" w:rsidR="004E71B9" w:rsidRDefault="004E7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326DD48E" w:rsidR="00182B22" w:rsidRDefault="00182B22">
    <w:pPr>
      <w:pStyle w:val="Voettekst"/>
      <w:jc w:val="right"/>
    </w:pPr>
    <w:r>
      <w:fldChar w:fldCharType="begin"/>
    </w:r>
    <w:r>
      <w:instrText xml:space="preserve"> PAGE   \* MERGEFORMAT </w:instrText>
    </w:r>
    <w:r>
      <w:fldChar w:fldCharType="separate"/>
    </w:r>
    <w:r w:rsidR="00C8139D">
      <w:rPr>
        <w:noProof/>
      </w:rPr>
      <w:t>14</w:t>
    </w:r>
    <w:r>
      <w:rPr>
        <w:noProof/>
      </w:rPr>
      <w:fldChar w:fldCharType="end"/>
    </w:r>
  </w:p>
  <w:p w14:paraId="722B3104" w14:textId="77777777" w:rsidR="00182B22" w:rsidRDefault="00182B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D72E" w14:textId="77777777" w:rsidR="004E71B9" w:rsidRDefault="004E71B9">
      <w:pPr>
        <w:spacing w:after="0" w:line="240" w:lineRule="auto"/>
      </w:pPr>
      <w:r>
        <w:separator/>
      </w:r>
    </w:p>
  </w:footnote>
  <w:footnote w:type="continuationSeparator" w:id="0">
    <w:p w14:paraId="6D5C0A1B" w14:textId="77777777" w:rsidR="004E71B9" w:rsidRDefault="004E71B9">
      <w:pPr>
        <w:spacing w:after="0" w:line="240" w:lineRule="auto"/>
      </w:pPr>
      <w:r>
        <w:continuationSeparator/>
      </w:r>
    </w:p>
  </w:footnote>
  <w:footnote w:type="continuationNotice" w:id="1">
    <w:p w14:paraId="3E9B3B9D" w14:textId="77777777" w:rsidR="004E71B9" w:rsidRDefault="004E71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8"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9"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1"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2"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4"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5"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6"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4"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6"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4"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29"/>
  </w:num>
  <w:num w:numId="8">
    <w:abstractNumId w:val="30"/>
  </w:num>
  <w:num w:numId="9">
    <w:abstractNumId w:val="34"/>
  </w:num>
  <w:num w:numId="10">
    <w:abstractNumId w:val="35"/>
  </w:num>
  <w:num w:numId="11">
    <w:abstractNumId w:val="36"/>
  </w:num>
  <w:num w:numId="12">
    <w:abstractNumId w:val="37"/>
  </w:num>
  <w:num w:numId="13">
    <w:abstractNumId w:val="47"/>
  </w:num>
  <w:num w:numId="14">
    <w:abstractNumId w:val="49"/>
  </w:num>
  <w:num w:numId="15">
    <w:abstractNumId w:val="53"/>
  </w:num>
  <w:num w:numId="16">
    <w:abstractNumId w:val="54"/>
  </w:num>
  <w:num w:numId="17">
    <w:abstractNumId w:val="57"/>
  </w:num>
  <w:num w:numId="18">
    <w:abstractNumId w:val="60"/>
  </w:num>
  <w:num w:numId="19">
    <w:abstractNumId w:val="62"/>
  </w:num>
  <w:num w:numId="20">
    <w:abstractNumId w:val="64"/>
  </w:num>
  <w:num w:numId="21">
    <w:abstractNumId w:val="85"/>
  </w:num>
  <w:num w:numId="22">
    <w:abstractNumId w:val="75"/>
  </w:num>
  <w:num w:numId="23">
    <w:abstractNumId w:val="77"/>
  </w:num>
  <w:num w:numId="24">
    <w:abstractNumId w:val="80"/>
  </w:num>
  <w:num w:numId="25">
    <w:abstractNumId w:val="83"/>
  </w:num>
  <w:num w:numId="26">
    <w:abstractNumId w:val="81"/>
  </w:num>
  <w:num w:numId="27">
    <w:abstractNumId w:val="79"/>
  </w:num>
  <w:num w:numId="28">
    <w:abstractNumId w:val="86"/>
  </w:num>
  <w:num w:numId="29">
    <w:abstractNumId w:val="76"/>
  </w:num>
  <w:num w:numId="30">
    <w:abstractNumId w:val="78"/>
  </w:num>
  <w:num w:numId="31">
    <w:abstractNumId w:val="84"/>
  </w:num>
  <w:num w:numId="32">
    <w:abstractNumId w:val="82"/>
  </w:num>
  <w:num w:numId="33">
    <w:abstractNumId w:val="7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DE"/>
    <w:rsid w:val="000026C1"/>
    <w:rsid w:val="00005F12"/>
    <w:rsid w:val="000060F8"/>
    <w:rsid w:val="00006AD0"/>
    <w:rsid w:val="00020397"/>
    <w:rsid w:val="0002203E"/>
    <w:rsid w:val="000249BF"/>
    <w:rsid w:val="00027229"/>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2B22"/>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39FC"/>
    <w:rsid w:val="00224037"/>
    <w:rsid w:val="002255D3"/>
    <w:rsid w:val="00235EB7"/>
    <w:rsid w:val="00255929"/>
    <w:rsid w:val="00257574"/>
    <w:rsid w:val="002575FF"/>
    <w:rsid w:val="00261376"/>
    <w:rsid w:val="00261830"/>
    <w:rsid w:val="00262497"/>
    <w:rsid w:val="00273057"/>
    <w:rsid w:val="00286D48"/>
    <w:rsid w:val="00290091"/>
    <w:rsid w:val="002B2F36"/>
    <w:rsid w:val="002D008B"/>
    <w:rsid w:val="002D2667"/>
    <w:rsid w:val="002E530D"/>
    <w:rsid w:val="002E615B"/>
    <w:rsid w:val="002E7974"/>
    <w:rsid w:val="003038E5"/>
    <w:rsid w:val="00303A2C"/>
    <w:rsid w:val="00316CAA"/>
    <w:rsid w:val="003225B1"/>
    <w:rsid w:val="00323E2F"/>
    <w:rsid w:val="00330AF0"/>
    <w:rsid w:val="00336BED"/>
    <w:rsid w:val="0034318F"/>
    <w:rsid w:val="00350435"/>
    <w:rsid w:val="0035116B"/>
    <w:rsid w:val="00355477"/>
    <w:rsid w:val="003625B0"/>
    <w:rsid w:val="003632E0"/>
    <w:rsid w:val="00363DE0"/>
    <w:rsid w:val="00367C21"/>
    <w:rsid w:val="00396AD8"/>
    <w:rsid w:val="003A0165"/>
    <w:rsid w:val="003A2728"/>
    <w:rsid w:val="003B20EF"/>
    <w:rsid w:val="003B5A8D"/>
    <w:rsid w:val="003B5EF4"/>
    <w:rsid w:val="003C0668"/>
    <w:rsid w:val="003D0103"/>
    <w:rsid w:val="003D2CD1"/>
    <w:rsid w:val="003D6456"/>
    <w:rsid w:val="003E4199"/>
    <w:rsid w:val="003E5CA2"/>
    <w:rsid w:val="003F2959"/>
    <w:rsid w:val="003F3FD8"/>
    <w:rsid w:val="003F7C20"/>
    <w:rsid w:val="00405990"/>
    <w:rsid w:val="0041321E"/>
    <w:rsid w:val="00413A0C"/>
    <w:rsid w:val="00414C3A"/>
    <w:rsid w:val="004164A9"/>
    <w:rsid w:val="00416E37"/>
    <w:rsid w:val="004231F6"/>
    <w:rsid w:val="00424055"/>
    <w:rsid w:val="004429C6"/>
    <w:rsid w:val="00442F56"/>
    <w:rsid w:val="00461474"/>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D5D09"/>
    <w:rsid w:val="004D6CF9"/>
    <w:rsid w:val="004D77CB"/>
    <w:rsid w:val="004E12B9"/>
    <w:rsid w:val="004E24B8"/>
    <w:rsid w:val="004E451F"/>
    <w:rsid w:val="004E5105"/>
    <w:rsid w:val="004E71B9"/>
    <w:rsid w:val="004F1525"/>
    <w:rsid w:val="0050178E"/>
    <w:rsid w:val="00501EF7"/>
    <w:rsid w:val="0050236A"/>
    <w:rsid w:val="005056BD"/>
    <w:rsid w:val="0051078E"/>
    <w:rsid w:val="00513E7A"/>
    <w:rsid w:val="00517CC5"/>
    <w:rsid w:val="00517EDD"/>
    <w:rsid w:val="00520B75"/>
    <w:rsid w:val="005213C0"/>
    <w:rsid w:val="00521B70"/>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16CD"/>
    <w:rsid w:val="005F22EE"/>
    <w:rsid w:val="005F49E1"/>
    <w:rsid w:val="005F605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4455A"/>
    <w:rsid w:val="00750A6C"/>
    <w:rsid w:val="00757F98"/>
    <w:rsid w:val="00761040"/>
    <w:rsid w:val="00761C70"/>
    <w:rsid w:val="00762E2C"/>
    <w:rsid w:val="007644DE"/>
    <w:rsid w:val="00770717"/>
    <w:rsid w:val="007748EF"/>
    <w:rsid w:val="0077498C"/>
    <w:rsid w:val="0077775D"/>
    <w:rsid w:val="00790A60"/>
    <w:rsid w:val="00796E84"/>
    <w:rsid w:val="007A09F8"/>
    <w:rsid w:val="007A2425"/>
    <w:rsid w:val="007A2854"/>
    <w:rsid w:val="007B11CE"/>
    <w:rsid w:val="007B1FD9"/>
    <w:rsid w:val="007B2ECD"/>
    <w:rsid w:val="007B3B17"/>
    <w:rsid w:val="007B6CAB"/>
    <w:rsid w:val="007D08FA"/>
    <w:rsid w:val="007D71C9"/>
    <w:rsid w:val="00801E7F"/>
    <w:rsid w:val="008060B2"/>
    <w:rsid w:val="00811036"/>
    <w:rsid w:val="00811838"/>
    <w:rsid w:val="00820DA6"/>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06C30"/>
    <w:rsid w:val="00914AF7"/>
    <w:rsid w:val="00923AB8"/>
    <w:rsid w:val="00930D72"/>
    <w:rsid w:val="00934766"/>
    <w:rsid w:val="0093603A"/>
    <w:rsid w:val="00940F80"/>
    <w:rsid w:val="00946CC5"/>
    <w:rsid w:val="00950BE6"/>
    <w:rsid w:val="00953421"/>
    <w:rsid w:val="00954EE2"/>
    <w:rsid w:val="00955D00"/>
    <w:rsid w:val="0098539B"/>
    <w:rsid w:val="00986903"/>
    <w:rsid w:val="00992CE7"/>
    <w:rsid w:val="009963C4"/>
    <w:rsid w:val="00996592"/>
    <w:rsid w:val="009A434F"/>
    <w:rsid w:val="009D25AF"/>
    <w:rsid w:val="009D3D44"/>
    <w:rsid w:val="009D616F"/>
    <w:rsid w:val="009E4B09"/>
    <w:rsid w:val="009F1CB9"/>
    <w:rsid w:val="009F4103"/>
    <w:rsid w:val="009F4D65"/>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7FD"/>
    <w:rsid w:val="00A809FD"/>
    <w:rsid w:val="00A8124A"/>
    <w:rsid w:val="00A8472E"/>
    <w:rsid w:val="00A85502"/>
    <w:rsid w:val="00A902B2"/>
    <w:rsid w:val="00A94B50"/>
    <w:rsid w:val="00A964B2"/>
    <w:rsid w:val="00A96578"/>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2C74"/>
    <w:rsid w:val="00C03034"/>
    <w:rsid w:val="00C041F3"/>
    <w:rsid w:val="00C10939"/>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39D"/>
    <w:rsid w:val="00C81CCC"/>
    <w:rsid w:val="00C92B38"/>
    <w:rsid w:val="00C92D0C"/>
    <w:rsid w:val="00C9545C"/>
    <w:rsid w:val="00C97068"/>
    <w:rsid w:val="00CA0430"/>
    <w:rsid w:val="00CA28B6"/>
    <w:rsid w:val="00CA3EEB"/>
    <w:rsid w:val="00CA6194"/>
    <w:rsid w:val="00CA7CAD"/>
    <w:rsid w:val="00CB3AE7"/>
    <w:rsid w:val="00CC3FD0"/>
    <w:rsid w:val="00CC4F09"/>
    <w:rsid w:val="00CD6548"/>
    <w:rsid w:val="00CD6A48"/>
    <w:rsid w:val="00CE34DB"/>
    <w:rsid w:val="00CF3AA1"/>
    <w:rsid w:val="00D14103"/>
    <w:rsid w:val="00D205D9"/>
    <w:rsid w:val="00D31811"/>
    <w:rsid w:val="00D3565E"/>
    <w:rsid w:val="00D370B8"/>
    <w:rsid w:val="00D415D1"/>
    <w:rsid w:val="00D51FDB"/>
    <w:rsid w:val="00D62479"/>
    <w:rsid w:val="00D633BF"/>
    <w:rsid w:val="00D84481"/>
    <w:rsid w:val="00D850F9"/>
    <w:rsid w:val="00D86A4D"/>
    <w:rsid w:val="00D86D41"/>
    <w:rsid w:val="00D91797"/>
    <w:rsid w:val="00D93563"/>
    <w:rsid w:val="00D93C04"/>
    <w:rsid w:val="00DA1E69"/>
    <w:rsid w:val="00DA4957"/>
    <w:rsid w:val="00DB349E"/>
    <w:rsid w:val="00DB3D84"/>
    <w:rsid w:val="00DD4C0F"/>
    <w:rsid w:val="00DE4E8D"/>
    <w:rsid w:val="00DF0765"/>
    <w:rsid w:val="00DF3374"/>
    <w:rsid w:val="00E03BF5"/>
    <w:rsid w:val="00E05DA9"/>
    <w:rsid w:val="00E215C3"/>
    <w:rsid w:val="00E22020"/>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514"/>
    <w:rsid w:val="00F87693"/>
    <w:rsid w:val="00F919A4"/>
    <w:rsid w:val="00F94446"/>
    <w:rsid w:val="00FA2032"/>
    <w:rsid w:val="00FA7D63"/>
    <w:rsid w:val="00FB0CD1"/>
    <w:rsid w:val="00FB16A8"/>
    <w:rsid w:val="00FB5FE4"/>
    <w:rsid w:val="00FC1E70"/>
    <w:rsid w:val="00FD05C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qFormat/>
    <w:pPr>
      <w:keepNext/>
      <w:keepLines/>
      <w:numPr>
        <w:numId w:val="1"/>
      </w:numPr>
      <w:spacing w:before="480" w:after="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semiHidden/>
    <w:unhideWhenUsed/>
    <w:rsid w:val="00D3565E"/>
    <w:rPr>
      <w:sz w:val="16"/>
      <w:szCs w:val="16"/>
    </w:rPr>
  </w:style>
  <w:style w:type="paragraph" w:styleId="Tekstopmerking">
    <w:name w:val="annotation text"/>
    <w:basedOn w:val="Standaard"/>
    <w:link w:val="TekstopmerkingChar"/>
    <w:uiPriority w:val="99"/>
    <w:semiHidden/>
    <w:unhideWhenUsed/>
    <w:rsid w:val="00D3565E"/>
    <w:rPr>
      <w:sz w:val="20"/>
      <w:szCs w:val="20"/>
    </w:rPr>
  </w:style>
  <w:style w:type="character" w:customStyle="1" w:styleId="TekstopmerkingChar">
    <w:name w:val="Tekst opmerking Char"/>
    <w:link w:val="Tekstopmerking"/>
    <w:uiPriority w:val="99"/>
    <w:semiHidden/>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0967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DEPDOC-959341906-122467</_dlc_DocId>
    <_dlc_DocIdUrl xmlns="27a646ec-b11d-44f2-b007-16ce52b3018b">
      <Url>https://nuffic.sharepoint.com/sites/departments/na/_layouts/15/DocIdRedir.aspx?ID=DEPDOC-959341906-122467</Url>
      <Description>DEPDOC-959341906-122467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BB1A-220B-40E5-AC4A-A2C5019A8CA0}">
  <ds:schemaRefs>
    <ds:schemaRef ds:uri="Microsoft.SharePoint.Taxonomy.ContentTypeSync"/>
  </ds:schemaRefs>
</ds:datastoreItem>
</file>

<file path=customXml/itemProps2.xml><?xml version="1.0" encoding="utf-8"?>
<ds:datastoreItem xmlns:ds="http://schemas.openxmlformats.org/officeDocument/2006/customXml" ds:itemID="{D68D77DA-6AD9-4A67-80F9-6739CCA0BCB0}">
  <ds:schemaRefs>
    <ds:schemaRef ds:uri="http://purl.org/dc/elements/1.1/"/>
    <ds:schemaRef ds:uri="http://purl.org/dc/dcmitype/"/>
    <ds:schemaRef ds:uri="http://schemas.microsoft.com/office/infopath/2007/PartnerControls"/>
    <ds:schemaRef ds:uri="27a646ec-b11d-44f2-b007-16ce52b3018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F074AAC0-4A76-4AC3-9B7E-71FF8FCCB35B}">
  <ds:schemaRefs>
    <ds:schemaRef ds:uri="http://schemas.microsoft.com/sharepoint/events"/>
  </ds:schemaRefs>
</ds:datastoreItem>
</file>

<file path=customXml/itemProps6.xml><?xml version="1.0" encoding="utf-8"?>
<ds:datastoreItem xmlns:ds="http://schemas.openxmlformats.org/officeDocument/2006/customXml" ds:itemID="{5E8A9C92-1049-4939-B9F0-C81C1B33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30F8059-E944-435C-9F98-CC0BB85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4057</Words>
  <Characters>22317</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26322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Kynthia Orfanidou</cp:lastModifiedBy>
  <cp:revision>22</cp:revision>
  <cp:lastPrinted>2018-10-19T05:53:00Z</cp:lastPrinted>
  <dcterms:created xsi:type="dcterms:W3CDTF">2019-03-04T16:07:00Z</dcterms:created>
  <dcterms:modified xsi:type="dcterms:W3CDTF">2019-05-06T14:15:00Z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TaxKeyword">
    <vt:lpwstr/>
  </property>
  <property fmtid="{D5CDD505-2E9C-101B-9397-08002B2CF9AE}" pid="18" name="ContentTypeId">
    <vt:lpwstr>0x010100B14F659BCD6B4D44A071072585BC7B40007F69A81DEB78C74383ACB203F0D22356</vt:lpwstr>
  </property>
  <property fmtid="{D5CDD505-2E9C-101B-9397-08002B2CF9AE}" pid="19" name="TaxCatchAll">
    <vt:lpwstr/>
  </property>
  <property fmtid="{D5CDD505-2E9C-101B-9397-08002B2CF9AE}" pid="20" name="TaxKeywordTaxHTField">
    <vt:lpwstr/>
  </property>
  <property fmtid="{D5CDD505-2E9C-101B-9397-08002B2CF9AE}" pid="21" name="_dlc_DocIdItemGuid">
    <vt:lpwstr>ef2dd7fd-08d3-4eff-a2e4-a5f96baa7035</vt:lpwstr>
  </property>
  <property fmtid="{D5CDD505-2E9C-101B-9397-08002B2CF9AE}" pid="22" name="AuthorIds_UIVersion_2">
    <vt:lpwstr>1451</vt:lpwstr>
  </property>
  <property fmtid="{D5CDD505-2E9C-101B-9397-08002B2CF9AE}" pid="23" name="AuthorIds_UIVersion_4">
    <vt:lpwstr>1451</vt:lpwstr>
  </property>
</Properties>
</file>